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9C1A6">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w:t>
      </w:r>
      <w:bookmarkStart w:id="0" w:name="_GoBack"/>
      <w:r>
        <w:rPr>
          <w:rFonts w:hint="default" w:ascii="Times New Roman" w:hAnsi="Times New Roman" w:cs="Times New Roman" w:eastAsiaTheme="minorEastAsia"/>
          <w:b/>
          <w:bCs/>
          <w:sz w:val="32"/>
          <w:szCs w:val="32"/>
          <w:lang w:eastAsia="zh-CN"/>
        </w:rPr>
        <w:t>成人骨髓间充质干细胞</w:t>
      </w:r>
      <w:bookmarkEnd w:id="0"/>
    </w:p>
    <w:p w14:paraId="140022CC">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w:t>
      </w:r>
      <w:r>
        <w:rPr>
          <w:rFonts w:hint="eastAsia"/>
          <w:lang w:val="en-US" w:eastAsia="zh-CN"/>
        </w:rPr>
        <w:t>BMSC</w:t>
      </w:r>
      <w:r>
        <w:rPr>
          <w:rFonts w:hint="eastAsia"/>
        </w:rPr>
        <w:t>1001</w:t>
      </w:r>
    </w:p>
    <w:p w14:paraId="1217F995">
      <w:pPr>
        <w:tabs>
          <w:tab w:val="left" w:pos="2496"/>
        </w:tabs>
        <w:spacing w:line="360" w:lineRule="auto"/>
        <w:rPr>
          <w:rFonts w:hint="default" w:ascii="Times New Roman" w:hAnsi="Times New Roman" w:cs="Times New Roman" w:eastAsiaTheme="minorEastAsia"/>
          <w:sz w:val="21"/>
          <w:szCs w:val="21"/>
          <w:lang w:eastAsia="zh-CN"/>
        </w:rPr>
      </w:pPr>
    </w:p>
    <w:p w14:paraId="164E9D10">
      <w:pPr>
        <w:tabs>
          <w:tab w:val="left" w:pos="2496"/>
        </w:tabs>
        <w:spacing w:line="360" w:lineRule="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eastAsia="zh-CN"/>
        </w:rPr>
        <w:t>产品介绍</w:t>
      </w:r>
    </w:p>
    <w:p w14:paraId="172F6BB1">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骨髓间充质干细胞是一类存在于骨髓基质中的多能干细胞。因其具有强大的</w:t>
      </w:r>
      <w:r>
        <w:rPr>
          <w:rFonts w:hint="default" w:ascii="Times New Roman" w:hAnsi="Times New Roman" w:cs="Times New Roman" w:eastAsiaTheme="minorEastAsia"/>
          <w:sz w:val="21"/>
          <w:szCs w:val="21"/>
          <w:lang w:val="en-US" w:eastAsia="zh-CN"/>
        </w:rPr>
        <w:t>增殖</w:t>
      </w:r>
      <w:r>
        <w:rPr>
          <w:rFonts w:hint="default" w:ascii="Times New Roman" w:hAnsi="Times New Roman" w:cs="Times New Roman" w:eastAsiaTheme="minorEastAsia"/>
          <w:sz w:val="21"/>
          <w:szCs w:val="21"/>
          <w:lang w:eastAsia="zh-CN"/>
        </w:rPr>
        <w:t>能力和免疫调节功能，被广泛应用于组织工程、细胞治疗和基因治疗领域。成人骨髓间充质干细胞作为一个研究热点被广泛应用于再生医学和组织工程，特别是在骨、心血管和神经系统等疾病领域。SiDoTek™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成人骨髓间充质干细胞提取自健康的成人骨髓，拥有强大的增殖和多向分化能力。可作为细胞模型应用于增殖、衰老、免疫、分化和移植研究。</w:t>
      </w:r>
    </w:p>
    <w:p w14:paraId="7ED81A19">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398D67B3">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3FCBE20B">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产品信息</w:t>
      </w:r>
    </w:p>
    <w:tbl>
      <w:tblPr>
        <w:tblStyle w:val="6"/>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5649"/>
      </w:tblGrid>
      <w:tr w14:paraId="1459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3BA5B25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产品名称</w:t>
            </w:r>
          </w:p>
        </w:tc>
        <w:tc>
          <w:tcPr>
            <w:tcW w:w="5649" w:type="dxa"/>
            <w:vAlign w:val="top"/>
          </w:tcPr>
          <w:p w14:paraId="1EF9755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kern w:val="2"/>
                <w:sz w:val="21"/>
                <w:szCs w:val="21"/>
                <w:lang w:val="en-US" w:eastAsia="zh-CN" w:bidi="ar-SA"/>
              </w:rPr>
              <w:t>成人骨髓间充质干细胞</w:t>
            </w:r>
          </w:p>
        </w:tc>
      </w:tr>
      <w:tr w14:paraId="429C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38F1BA6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货号</w:t>
            </w:r>
          </w:p>
        </w:tc>
        <w:tc>
          <w:tcPr>
            <w:tcW w:w="5649" w:type="dxa"/>
            <w:vAlign w:val="top"/>
          </w:tcPr>
          <w:p w14:paraId="0D102E0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eastAsia"/>
                <w:lang w:val="en-US" w:eastAsia="zh-CN"/>
              </w:rPr>
              <w:t>BMSC</w:t>
            </w:r>
            <w:r>
              <w:rPr>
                <w:rFonts w:hint="eastAsia"/>
              </w:rPr>
              <w:t>1001</w:t>
            </w:r>
          </w:p>
        </w:tc>
      </w:tr>
      <w:tr w14:paraId="2B75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37EA29D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规格</w:t>
            </w:r>
          </w:p>
        </w:tc>
        <w:tc>
          <w:tcPr>
            <w:tcW w:w="5649" w:type="dxa"/>
            <w:vAlign w:val="top"/>
          </w:tcPr>
          <w:p w14:paraId="3C58539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个/管 或 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个/瓶</w:t>
            </w:r>
          </w:p>
        </w:tc>
      </w:tr>
      <w:tr w14:paraId="7578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74AFEA9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冻存代次</w:t>
            </w:r>
          </w:p>
        </w:tc>
        <w:tc>
          <w:tcPr>
            <w:tcW w:w="5649" w:type="dxa"/>
            <w:vAlign w:val="top"/>
          </w:tcPr>
          <w:p w14:paraId="220ADBD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P2</w:t>
            </w:r>
          </w:p>
        </w:tc>
      </w:tr>
      <w:tr w14:paraId="1CC7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17F4E34A">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保存条件</w:t>
            </w:r>
          </w:p>
        </w:tc>
        <w:tc>
          <w:tcPr>
            <w:tcW w:w="5649" w:type="dxa"/>
            <w:vAlign w:val="top"/>
          </w:tcPr>
          <w:p w14:paraId="2C79653A">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液氮（-196℃)</w:t>
            </w:r>
          </w:p>
        </w:tc>
      </w:tr>
    </w:tbl>
    <w:p w14:paraId="36509B5C">
      <w:pPr>
        <w:tabs>
          <w:tab w:val="left" w:pos="2496"/>
        </w:tabs>
        <w:spacing w:line="360" w:lineRule="auto"/>
        <w:rPr>
          <w:rFonts w:hint="default" w:ascii="Times New Roman" w:hAnsi="Times New Roman" w:cs="Times New Roman" w:eastAsiaTheme="minorEastAsia"/>
          <w:sz w:val="21"/>
          <w:szCs w:val="21"/>
          <w:lang w:val="en-US" w:eastAsia="zh-CN"/>
        </w:rPr>
      </w:pPr>
    </w:p>
    <w:p w14:paraId="5A717905">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77276A38">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3CA06D39">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通过细胞复苏活力检测，复苏存活率&gt;80%。</w:t>
      </w:r>
    </w:p>
    <w:p w14:paraId="69F23C52">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通过细胞周期检测，倍增周期&lt;72 h。</w:t>
      </w:r>
    </w:p>
    <w:p w14:paraId="52B7E6ED">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通过流式检测，CD29、CD44、CD73、CD105为阳性（&gt;70%）；CD34、CD45、CD11b为阴性（&lt;5%）。</w:t>
      </w:r>
    </w:p>
    <w:p w14:paraId="53533F61">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具有良好的分化能力，可经诱导分化为成骨细胞、脂肪细胞、软骨细胞等</w:t>
      </w:r>
    </w:p>
    <w:p w14:paraId="33013E32">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2C7D9BB8">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06455B42">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严格的无菌环境。务必保证实验室整体、超净台和培养箱的清洁。</w:t>
      </w:r>
    </w:p>
    <w:p w14:paraId="6AF133FE">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1923197A">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需要合适的、质量可靠的实验耗材和试剂。本产品需使用适合贴壁细胞生长的培养容器，且不建议重复使用。使用的试剂必须经验证可靠，适宜细胞生长且批间差异小。</w:t>
      </w:r>
    </w:p>
    <w:p w14:paraId="6124BB23">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骨髓间充质干细胞在体外增殖能力有限，且不能长期保持分化潜能。基于丰富的细胞培养经验和性能优异的培养体系，</w:t>
      </w: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成人骨髓间充质干细胞可在体外传代5次以上依然保持各项指标合格。但我们始终建议尽可能使用较低代次细胞进行科研工作。</w:t>
      </w:r>
    </w:p>
    <w:p w14:paraId="2B3AD52B">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通常成人骨髓间充质干细胞接种密度为（2.5~4）×10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。该细胞的生长与供体自身特性和后续培养体系的关系极大。我们建议根据各批次、各代次实际生长情况按比例传代培养。</w:t>
      </w:r>
    </w:p>
    <w:p w14:paraId="733389A8">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注意：本产品冻存液中含有DMSO，其具有潜在风险，请谨慎处理。</w:t>
      </w:r>
    </w:p>
    <w:p w14:paraId="4BC13FA5">
      <w:pPr>
        <w:tabs>
          <w:tab w:val="left" w:pos="2496"/>
        </w:tabs>
        <w:spacing w:line="360" w:lineRule="auto"/>
        <w:rPr>
          <w:rFonts w:hint="default" w:ascii="Times New Roman" w:hAnsi="Times New Roman" w:cs="Times New Roman" w:eastAsiaTheme="minorEastAsia"/>
          <w:sz w:val="21"/>
          <w:szCs w:val="21"/>
          <w:lang w:val="en-US" w:eastAsia="zh-CN"/>
        </w:rPr>
      </w:pPr>
    </w:p>
    <w:p w14:paraId="77EA94CD">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细胞的复苏和培养</w:t>
      </w:r>
    </w:p>
    <w:p w14:paraId="78979577">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12DD8AA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成人骨髓间充质干细胞</w:t>
      </w:r>
    </w:p>
    <w:p w14:paraId="2808725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成人骨髓间充质干细胞完全培养基（货号：SD-HUXMA-01001，以下简称完全培养基）</w:t>
      </w:r>
    </w:p>
    <w:p w14:paraId="09E2DA87">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2614BB2E">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 让管中液氮挥发。</w:t>
      </w:r>
    </w:p>
    <w:p w14:paraId="5DDB1D54">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w:t>
      </w:r>
    </w:p>
    <w:p w14:paraId="75BF6770">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完全培养基温浴到37℃。</w:t>
      </w:r>
    </w:p>
    <w:p w14:paraId="14B565DB">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19DDF39E">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1DA57936">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000CAD21">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4AF71D4E">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674F89A4">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40677518">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细胞悬液以250×g离心4 min。</w:t>
      </w:r>
    </w:p>
    <w:p w14:paraId="56972460">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63FF59D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56F6A232">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将细胞平均接种到1个T25培养瓶或底面积相当的培养容器中。 加入足量完全培养基， 1个T25培养瓶中培养基总量不少于5 mL。</w:t>
      </w:r>
    </w:p>
    <w:p w14:paraId="737E462C">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32C1FF0A">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注意：接种2 h内不可移动、观察细胞。这会严重影响细胞贴壁，造成状态不佳、细胞聚团、贴壁不均匀等情况。</w:t>
      </w:r>
    </w:p>
    <w:p w14:paraId="4F139F80">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17F15A00">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注意：若发现较多漂浮细胞或其他异常情况，应及时排查原因，并与我们联系。</w:t>
      </w:r>
    </w:p>
    <w:p w14:paraId="5D1C39BE">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之后每 2 天更换一次完全培养基，直到细胞生长至90%汇合，即需传代。</w:t>
      </w:r>
    </w:p>
    <w:p w14:paraId="4353FE40">
      <w:pPr>
        <w:widowControl w:val="0"/>
        <w:numPr>
          <w:ilvl w:val="0"/>
          <w:numId w:val="0"/>
        </w:numPr>
        <w:tabs>
          <w:tab w:val="left" w:pos="2496"/>
        </w:tabs>
        <w:spacing w:line="360" w:lineRule="auto"/>
        <w:ind w:leftChars="0"/>
        <w:jc w:val="both"/>
        <w:rPr>
          <w:rFonts w:hint="default" w:ascii="Times New Roman" w:hAnsi="Times New Roman" w:cs="Times New Roman" w:eastAsiaTheme="minorEastAsia"/>
          <w:sz w:val="21"/>
          <w:szCs w:val="21"/>
          <w:lang w:val="en-US" w:eastAsia="zh-CN"/>
        </w:rPr>
      </w:pPr>
    </w:p>
    <w:p w14:paraId="36F3125D">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细胞的传代</w:t>
      </w:r>
    </w:p>
    <w:p w14:paraId="45FFAEF1">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578B96BC">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0.25% Trypsin-0.04% EDTA（货号：SD-TEDTA-10001，以下简称胰酶）</w:t>
      </w:r>
    </w:p>
    <w:p w14:paraId="297F7E69">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Phosphate-Buffered Saline (1×PBS) （货号：SD-PBS-10001，以下简称PBS）</w:t>
      </w:r>
    </w:p>
    <w:p w14:paraId="4D8820E6">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SiDoTek™ 成人骨髓间充质干细胞完全培养基（货号：SD-HUXMA-01001）</w:t>
      </w:r>
    </w:p>
    <w:p w14:paraId="5DF6EF0E">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5FADC303">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将完全培养基、PBS、胰酶预热至37℃。</w:t>
      </w:r>
    </w:p>
    <w:p w14:paraId="17CE7C6E">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吸去培养容器中的培养基。</w:t>
      </w:r>
    </w:p>
    <w:p w14:paraId="26A2BEF3">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用PBS（T25培养瓶加入约3 mL，T75培养瓶加入约6 mL）洗涤细胞2次，注意动作轻柔，清洗全面。吸去PBS。</w:t>
      </w:r>
    </w:p>
    <w:p w14:paraId="0753BD4B">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加入胰酶（T25培养瓶加入约1.5 mL，T75培养瓶加入约3 mL），迅速铺匀，保证充分接触细胞表面。</w:t>
      </w:r>
    </w:p>
    <w:p w14:paraId="2B593B41">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显微镜下观察消化情况，约70%~80%细胞收缩变圆后，轻拍培养容器外壁，使细胞脱离培养表面。</w:t>
      </w:r>
    </w:p>
    <w:p w14:paraId="0B1B0D91">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立即加入完全培养基（T25培养瓶加入约3 mL，T75培养瓶加入约6 mL），随即轻摇培养容器，使培养基和胰酶迅速混匀，终止消化。</w:t>
      </w:r>
    </w:p>
    <w:p w14:paraId="6EF7B6FF">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使用吸管或移液管吸取细胞悬液，吹打培养容器底面数次，尽可能将细胞都吹打下来。</w:t>
      </w:r>
    </w:p>
    <w:p w14:paraId="71B15E84">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注意：吹打动作不可剧烈，避免产生大量气泡，否则可能损伤和损失细胞。</w:t>
      </w:r>
    </w:p>
    <w:p w14:paraId="75311D1E">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将细胞悬液转移至离心管中。用PBS（T25培养瓶加入约3 mL，T75培养瓶加入约6 mL） 洗涤容器1次，收集残留细胞。</w:t>
      </w:r>
    </w:p>
    <w:p w14:paraId="6BCF2EB8">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收集的所有细胞悬液以250×g离心4 min。</w:t>
      </w:r>
    </w:p>
    <w:p w14:paraId="37A6B96F">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5D07393A">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将细胞按（2.5~4）×10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接种至适宜的培养容器内。</w:t>
      </w:r>
    </w:p>
    <w:p w14:paraId="06D425E0">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培养成人骨髓间充质干细胞对于细胞密度有较高的要求，我们建议有条件且计数效率较高的情况下，进行手工计数，以期获得精准的细胞浓度指导接种；在没有精确计数条件的情况下，按照适宜比例传代是更好的方法。通常SiDoTek™ 成人骨髓间充质干细胞传代比例为1:3，72 h内生长至可传代汇合度。请根据细胞实际生长情况调整传代比例。</w:t>
      </w:r>
    </w:p>
    <w:p w14:paraId="4CFE4291">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摇匀细胞，放入37℃、5%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72EF6995">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传代次日，观察细胞状态。若发现较多漂浮细胞，应予以换液。</w:t>
      </w:r>
    </w:p>
    <w:p w14:paraId="7BC23075">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14. 待细胞生长至90%汇合，即需传代或冻存。</w:t>
      </w:r>
    </w:p>
    <w:p w14:paraId="2E5BF568">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注意：正常情况下SiDoTek™ 成人骨髓间充质干细胞每代生长时间不超过72 h，中途不需要换液。频繁换液会破坏构建起的细胞微环境。</w:t>
      </w:r>
    </w:p>
    <w:p w14:paraId="5A6B6E4A">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p>
    <w:p w14:paraId="4E17111D">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细胞的冻存</w:t>
      </w:r>
    </w:p>
    <w:p w14:paraId="1C24D2D1">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564CDC9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通用无蛋白非程序冻存液（货号：SD-NCPF-10001）</w:t>
      </w:r>
    </w:p>
    <w:p w14:paraId="12B5B89E">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通用血清型程序冻存液（货号：SD-CYRO-10001）</w:t>
      </w:r>
    </w:p>
    <w:p w14:paraId="3B931D71">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4B76013C">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若选用SiDoTek™ 通用血清型程序冻存液，请在操作前将程序降温盒放入4℃冰箱内预冷。</w:t>
      </w:r>
    </w:p>
    <w:p w14:paraId="41E0F430">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待细胞生长至可传代的密度，即可准备冻存。</w:t>
      </w:r>
    </w:p>
    <w:p w14:paraId="4DA6ECDC">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细胞消化请参考SiDoTek™ 成人骨髓间充质干细胞的传代操作步骤1~9。</w:t>
      </w:r>
    </w:p>
    <w:p w14:paraId="719D09E9">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离心后去除上清，用适量冻存液均匀重悬细胞。</w:t>
      </w:r>
    </w:p>
    <w:p w14:paraId="35B1848C">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将细胞按比例或数量分装至冻存管中。</w:t>
      </w:r>
    </w:p>
    <w:p w14:paraId="00EE4C57">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在没有成熟的计数条件下，我们建议将细胞按比例分装冻存即可，长时间在非培养条件下放置会严重影响细胞的状态。在计数时，我们建议将细胞放置于4℃冰箱内，以减弱细胞代谢，较好地保持细胞状态。</w:t>
      </w:r>
    </w:p>
    <w:p w14:paraId="643745A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若选用SiDoTek™ 通用血清型程序冻存液，将冻存管放入预冷的程序降温盒中，再将程序降温盒放入-80℃冰箱中。若选用SiDoTek™ 通用无蛋白非程序冻存液，请将冻存管直接分散放入-80℃冰箱中。</w:t>
      </w:r>
    </w:p>
    <w:p w14:paraId="3AB9F1B2">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注意：细胞冻存期间，特别是开始冻存的4 h内，不可打开冰箱门，这将严重影响细胞冷冻存活率。</w:t>
      </w:r>
    </w:p>
    <w:p w14:paraId="486CD6E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8 h后即可将细胞转移入液氮长期保存。</w:t>
      </w:r>
    </w:p>
    <w:p w14:paraId="1422BBEA">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注意：细胞不可长期保存在-80℃冰箱中。我们建议在-80℃冰箱中的保存时间不要超过48 h。</w:t>
      </w:r>
    </w:p>
    <w:p w14:paraId="348D252B">
      <w:pPr>
        <w:tabs>
          <w:tab w:val="left" w:pos="2496"/>
        </w:tabs>
        <w:spacing w:line="360" w:lineRule="auto"/>
        <w:rPr>
          <w:rFonts w:hint="default" w:ascii="Times New Roman" w:hAnsi="Times New Roman" w:cs="Times New Roman" w:eastAsiaTheme="minorEastAsia"/>
          <w:b/>
          <w:bCs/>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AC02B">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A69BA">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16514"/>
    <w:multiLevelType w:val="singleLevel"/>
    <w:tmpl w:val="4E016514"/>
    <w:lvl w:ilvl="0" w:tentative="0">
      <w:start w:val="1"/>
      <w:numFmt w:val="decimal"/>
      <w:suff w:val="space"/>
      <w:lvlText w:val="%1."/>
      <w:lvlJc w:val="left"/>
    </w:lvl>
  </w:abstractNum>
  <w:abstractNum w:abstractNumId="1">
    <w:nsid w:val="54F88A71"/>
    <w:multiLevelType w:val="singleLevel"/>
    <w:tmpl w:val="54F88A71"/>
    <w:lvl w:ilvl="0" w:tentative="0">
      <w:start w:val="1"/>
      <w:numFmt w:val="decimal"/>
      <w:suff w:val="space"/>
      <w:lvlText w:val="%1."/>
      <w:lvlJc w:val="left"/>
    </w:lvl>
  </w:abstractNum>
  <w:abstractNum w:abstractNumId="2">
    <w:nsid w:val="5B7624C0"/>
    <w:multiLevelType w:val="singleLevel"/>
    <w:tmpl w:val="5B7624C0"/>
    <w:lvl w:ilvl="0" w:tentative="0">
      <w:start w:val="1"/>
      <w:numFmt w:val="decimal"/>
      <w:suff w:val="space"/>
      <w:lvlText w:val="%1."/>
      <w:lvlJc w:val="left"/>
    </w:lvl>
  </w:abstractNum>
  <w:abstractNum w:abstractNumId="3">
    <w:nsid w:val="7B22C6C5"/>
    <w:multiLevelType w:val="singleLevel"/>
    <w:tmpl w:val="7B22C6C5"/>
    <w:lvl w:ilvl="0" w:tentative="0">
      <w:start w:val="8"/>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141E72D3"/>
    <w:rsid w:val="2A886554"/>
    <w:rsid w:val="2D0163D8"/>
    <w:rsid w:val="2E277C09"/>
    <w:rsid w:val="36BB29CB"/>
    <w:rsid w:val="505D4C08"/>
    <w:rsid w:val="5E1B16CF"/>
    <w:rsid w:val="5EA67D62"/>
    <w:rsid w:val="5F331A3A"/>
    <w:rsid w:val="627D729E"/>
    <w:rsid w:val="67265EE2"/>
    <w:rsid w:val="67952F01"/>
    <w:rsid w:val="6A8B3FD6"/>
    <w:rsid w:val="6D0B1E05"/>
    <w:rsid w:val="70653C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2652</Words>
  <Characters>3152</Characters>
  <Lines>0</Lines>
  <Paragraphs>0</Paragraphs>
  <TotalTime>0</TotalTime>
  <ScaleCrop>false</ScaleCrop>
  <LinksUpToDate>false</LinksUpToDate>
  <CharactersWithSpaces>3236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2024-12-13T02:09:45Z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