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SiDoTek™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 xml:space="preserve"> One Step Cloning Kit </w:t>
      </w:r>
    </w:p>
    <w:p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一步法多片段无缝克隆试剂盒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目录号：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DMR4-2a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储存条件：-30 ~ -15℃保存1年，≤0℃运输</w:t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0F7F7D"/>
          <w:sz w:val="24"/>
          <w:szCs w:val="24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SiDoTek™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 xml:space="preserve"> One Step Cloning Kit是一款简单、快速、高效的DNA定向克隆</w:t>
      </w: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试剂盒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，可以将插入片段定向克隆至任意载体的任意位点。</w:t>
      </w: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可以高效兼容1-5个片段同源重组，50℃反应10 - 30 min即可进行连接，适用于快速克隆，DNA定点突变等。</w:t>
      </w:r>
    </w:p>
    <w:p>
      <w:pPr>
        <w:spacing w:line="240" w:lineRule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bookmarkStart w:id="0" w:name="_Toc143260275"/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产品内容</w:t>
      </w:r>
      <w:bookmarkEnd w:id="0"/>
    </w:p>
    <w:tbl>
      <w:tblPr>
        <w:tblStyle w:val="5"/>
        <w:tblW w:w="4822" w:type="pct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5"/>
        <w:gridCol w:w="1971"/>
        <w:gridCol w:w="23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3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Hlk149838241"/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组分</w:t>
            </w:r>
          </w:p>
        </w:tc>
        <w:tc>
          <w:tcPr>
            <w:tcW w:w="11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DMR4-2a</w:t>
            </w:r>
          </w:p>
        </w:tc>
        <w:tc>
          <w:tcPr>
            <w:tcW w:w="14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DMR4-3a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3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>
            <w:pPr>
              <w:spacing w:before="58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2×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SiDoTek™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One Step Cloning Mix</w:t>
            </w:r>
          </w:p>
        </w:tc>
        <w:tc>
          <w:tcPr>
            <w:tcW w:w="11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spacing w:before="67" w:line="240" w:lineRule="auto"/>
              <w:ind w:left="225" w:right="21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100 μL</w:t>
            </w:r>
          </w:p>
        </w:tc>
        <w:tc>
          <w:tcPr>
            <w:tcW w:w="14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spacing w:before="67" w:line="240" w:lineRule="auto"/>
              <w:ind w:left="189" w:right="181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250 μL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spacing w:before="58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700bp Control Insert (10ng/μL)</w:t>
            </w:r>
          </w:p>
          <w:p>
            <w:pPr>
              <w:spacing w:before="58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pCold Control Vector,linearized(20ng/μL)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spacing w:before="58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 μL</w:t>
            </w:r>
          </w:p>
          <w:p>
            <w:pPr>
              <w:spacing w:before="58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10 μL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spacing w:before="58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 μL</w:t>
            </w:r>
          </w:p>
          <w:p>
            <w:pPr>
              <w:spacing w:before="58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10 μL</w:t>
            </w:r>
          </w:p>
        </w:tc>
      </w:tr>
      <w:bookmarkEnd w:id="1"/>
    </w:tbl>
    <w:p>
      <w:pPr>
        <w:spacing w:line="240" w:lineRule="auto"/>
        <w:rPr>
          <w:rFonts w:hint="default" w:ascii="Times New Roman" w:hAnsi="Times New Roman" w:cs="Times New Roman"/>
          <w:color w:val="000000"/>
          <w:sz w:val="18"/>
          <w:szCs w:val="18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bookmarkStart w:id="2" w:name="_Toc143260277"/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注意事项</w:t>
      </w:r>
      <w:bookmarkEnd w:id="2"/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1. 请于使用前确保产品完全解冻，彻底混匀后短暂离心，置于冰上备用。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 xml:space="preserve">2. 反复冻融会影响产品的性能。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3. 为了您的安全和健康，请穿实验服并戴一次性手套操作。</w:t>
      </w:r>
    </w:p>
    <w:p>
      <w:pPr>
        <w:spacing w:line="240" w:lineRule="auto"/>
        <w:outlineLvl w:val="0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bookmarkStart w:id="3" w:name="_Toc143260278"/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实验流程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1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  <w:t>1 制备线性化载体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 xml:space="preserve">  选择合适的克隆位点，并对载体进行线性化。尽量选择无重复序列且载体克隆位点上下游20bp区域内GC含量在40%-60%之间的位点进行克隆。载体线性化方式主要有：限制性内切酶酶切消化和反向PCR扩增两种。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1）限制性内切酶酶切制备线性化载体时，推荐使用双酶切方案。尽管单酶切线性化并不影响无缝链接，但可能会有更多的环状质粒残留，增加后期克隆的筛选难度。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2）反向PCR扩增制备线性化载体时，必须使用高保真DNA聚合酶进行载体扩增，以减少扩增突变的引入。PCR产物需要进行胶回收，减少环状质粒（环状DNA模板）的残留。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1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  <w:t>2 制备插入片段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 xml:space="preserve">  通过在插入片段正、反向引物5</w:t>
      </w:r>
      <w:r>
        <w:rPr>
          <w:rFonts w:hint="default" w:ascii="Times New Roman" w:hAnsi="Times New Roman" w:cs="Times New Roman"/>
          <w:b/>
          <w:color w:val="000000"/>
          <w:sz w:val="18"/>
          <w:szCs w:val="18"/>
          <w:vertAlign w:val="superscript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端，引入15-25bp线性化载体末端同源序列，使得插入片段PCR产物5</w:t>
      </w:r>
      <w:r>
        <w:rPr>
          <w:rFonts w:hint="default" w:ascii="Times New Roman" w:hAnsi="Times New Roman" w:cs="Times New Roman"/>
          <w:b/>
          <w:color w:val="000000"/>
          <w:sz w:val="18"/>
          <w:szCs w:val="18"/>
          <w:vertAlign w:val="superscript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端和3</w:t>
      </w:r>
      <w:r>
        <w:rPr>
          <w:rFonts w:hint="default" w:ascii="Times New Roman" w:hAnsi="Times New Roman" w:cs="Times New Roman"/>
          <w:b/>
          <w:color w:val="000000"/>
          <w:sz w:val="18"/>
          <w:szCs w:val="18"/>
          <w:vertAlign w:val="superscript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端的末端分别带有与线性化载体的两个末端对应的完全一致的序列。使用高保真PCR Mix完成扩增，获得PCR产物后，进行琼脂糖凝胶电泳分析，并回收正确的产物片段。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 xml:space="preserve">  插入片段正向扩增引物设计方式：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 xml:space="preserve">  5’-上游载体末端同源序列+酶切位点（保留或删除）+基因特异性正向扩增引物序列-3’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 xml:space="preserve">  插入片段反向扩增引物设计方式：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 xml:space="preserve">  3’-基因特异性反向扩增引物序列+酶切位点（保留或删除）+下游载体末端同源序列-5’</w:t>
      </w:r>
    </w:p>
    <w:p>
      <w:pPr>
        <w:spacing w:line="240" w:lineRule="auto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-237490</wp:posOffset>
            </wp:positionV>
            <wp:extent cx="3829685" cy="4058285"/>
            <wp:effectExtent l="0" t="0" r="10795" b="10795"/>
            <wp:wrapTight wrapText="bothSides">
              <wp:wrapPolygon>
                <wp:start x="0" y="0"/>
                <wp:lineTo x="0" y="21495"/>
                <wp:lineTo x="21489" y="21495"/>
                <wp:lineTo x="21489" y="0"/>
                <wp:lineTo x="0" y="0"/>
              </wp:wrapPolygon>
            </wp:wrapTight>
            <wp:docPr id="108881258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1258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49530</wp:posOffset>
            </wp:positionH>
            <wp:positionV relativeFrom="paragraph">
              <wp:posOffset>127000</wp:posOffset>
            </wp:positionV>
            <wp:extent cx="2383790" cy="2203450"/>
            <wp:effectExtent l="0" t="0" r="8890" b="6350"/>
            <wp:wrapNone/>
            <wp:docPr id="89067284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72841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407"/>
                    <a:stretch>
                      <a:fillRect/>
                    </a:stretch>
                  </pic:blipFill>
                  <pic:spPr>
                    <a:xfrm>
                      <a:off x="0" y="0"/>
                      <a:ext cx="2383703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  <w:t>一步快速克隆试剂盒实验流程图</w:t>
      </w: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723" w:firstLineChars="4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723" w:firstLineChars="4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  <w:t>一步法多片段无缝克隆</w:t>
      </w:r>
      <w:r>
        <w:rPr>
          <w:rFonts w:hint="eastAsia" w:ascii="Times New Roman" w:hAnsi="Times New Roman" w:cs="Times New Roman"/>
          <w:b/>
          <w:bCs/>
          <w:color w:val="000000"/>
          <w:sz w:val="18"/>
          <w:szCs w:val="18"/>
          <w:lang w:val="en-US" w:eastAsia="zh-CN"/>
        </w:rPr>
        <w:t>流程</w:t>
      </w: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132080</wp:posOffset>
                </wp:positionV>
                <wp:extent cx="2876550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361" w:firstLineChars="200"/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克隆载体选用双酶切/单酶切线性化的对比图解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6.5pt;margin-top:10.4pt;height:110.55pt;width:226.5pt;z-index:251664384;mso-width-relative:page;mso-height-relative:margin;mso-height-percent:200;" filled="f" stroked="f" coordsize="21600,21600" o:gfxdata="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vYXr2AAAAAoBAAAPAAAAAAAAAAEAIAAAACIAAABkcnMvZG93bnJldi54bWxQSwECFAAUAAAA&#10;CACHTuJACTDKRCcCAAAsBAAADgAAAAAAAAABACAAAAAn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ind w:firstLine="361" w:firstLineChars="200"/>
                        <w:rPr>
                          <w:rFonts w:hint="eastAsia"/>
                          <w:b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克隆载体选用双酶切/单酶切线性化的对比图解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  <w:t>3 线性化载体与插入片段浓度测定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使用NanoDrop超微量生物检测仪或Qubit，检测线性化载体和插入片段的浓度。</w:t>
      </w:r>
    </w:p>
    <w:p>
      <w:pPr>
        <w:spacing w:line="240" w:lineRule="auto"/>
        <w:ind w:firstLine="361" w:firstLineChars="200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eastAsia="zh-CN"/>
        </w:rPr>
        <w:t>4 重组反应体系的配制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1）线性化载体和插入片段使用量计算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载体与插入片段摩尔比为1:2 ~ 1:3；当插入片段长度大于克隆载体时，将插入片段当作克隆载体，克隆载体当作插入片段计算。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2）在冰上配制10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μ</w:t>
      </w: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L反应体系：</w:t>
      </w:r>
    </w:p>
    <w:tbl>
      <w:tblPr>
        <w:tblStyle w:val="5"/>
        <w:tblW w:w="4760" w:type="pct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296"/>
        <w:gridCol w:w="1337"/>
        <w:gridCol w:w="349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组分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实验组</w:t>
            </w: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阴性对照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阳性对照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spacing w:before="58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线性化载体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7" w:line="240" w:lineRule="auto"/>
              <w:ind w:left="225" w:right="21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7" w:line="240" w:lineRule="auto"/>
              <w:ind w:left="189" w:right="181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7" w:line="240" w:lineRule="auto"/>
              <w:ind w:left="189" w:right="181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pCold Control Vector,linearized  1 μL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spacing w:before="67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插入片段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7" w:line="240" w:lineRule="auto"/>
              <w:ind w:left="225" w:right="215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5" w:line="240" w:lineRule="auto"/>
              <w:ind w:left="189" w:right="184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5" w:line="240" w:lineRule="auto"/>
              <w:ind w:left="189" w:right="184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700bp Control Insert  1 μL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spacing w:before="67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2×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SiDoTek™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One Step Cloning Mix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7" w:line="240" w:lineRule="auto"/>
              <w:ind w:left="225" w:right="215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5" w:line="240" w:lineRule="auto"/>
              <w:ind w:left="189" w:right="184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bookmarkStart w:id="4" w:name="_GoBack"/>
            <w:bookmarkEnd w:id="4"/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5" w:line="240" w:lineRule="auto"/>
              <w:ind w:left="189" w:right="184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 μL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spacing w:before="67" w:line="240" w:lineRule="auto"/>
              <w:ind w:left="107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DNase-Free Water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7" w:line="240" w:lineRule="auto"/>
              <w:ind w:left="225" w:right="215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to 10μL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5" w:line="240" w:lineRule="auto"/>
              <w:ind w:left="189" w:right="184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to 10μL</w:t>
            </w:r>
          </w:p>
        </w:tc>
        <w:tc>
          <w:tcPr>
            <w:tcW w:w="215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before="65" w:line="240" w:lineRule="auto"/>
              <w:ind w:left="189" w:right="184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to 10μL</w:t>
            </w:r>
          </w:p>
        </w:tc>
      </w:tr>
    </w:tbl>
    <w:p>
      <w:pPr>
        <w:spacing w:line="240" w:lineRule="auto"/>
        <w:ind w:firstLine="360" w:firstLineChars="200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3） 使用移液器轻轻吸打混匀并瞬时离心。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4） 50℃反应 X min， 4℃维持或取出后置于冰上冷却。（其中，X 代表不同数量插入片段的参考反应时间。当插入1个片段时，反应条件为50℃，5min；当插入片段数为2,3,4,5,6个时，建议反应条件为50℃，对应的反应时间分别是10 min,20 min,30 min,40 min,50min。超长载体片段连接时，建议反应时间为40-60min。）</w:t>
      </w:r>
    </w:p>
    <w:p>
      <w:pPr>
        <w:spacing w:line="240" w:lineRule="auto"/>
        <w:ind w:firstLine="360" w:firstLineChars="200"/>
        <w:rPr>
          <w:rFonts w:hint="eastAsia" w:eastAsia="宋体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5） 重组反应转化、涂板，具体方法参照感受态细胞的说明书。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06646071"/>
    <w:rsid w:val="141E72D3"/>
    <w:rsid w:val="2A886554"/>
    <w:rsid w:val="2D423581"/>
    <w:rsid w:val="354210F8"/>
    <w:rsid w:val="6A8B3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多巴胺</cp:lastModifiedBy>
  <dcterms:modified xsi:type="dcterms:W3CDTF">2024-07-09T05:11:37Z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20DC37BDB0D64A7F9202799E5F6C71B4_13</vt:lpwstr>
  </property>
</Properties>
</file>