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  <w:bookmarkStart w:id="0" w:name="OLE_LINK2"/>
      <w:bookmarkStart w:id="1" w:name="OLE_LINK1"/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SiDoTek™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Fast Pfu DNA polymerase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 xml:space="preserve">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快速高保真DNA聚合酶</w:t>
      </w:r>
      <w:bookmarkEnd w:id="0"/>
      <w:bookmarkEnd w:id="1"/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目录号：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DMR1-2a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储存条件：-30 ~ -15℃保存2年，≤0℃运输</w:t>
      </w:r>
      <w:bookmarkStart w:id="2" w:name="_GoBack"/>
      <w:bookmarkEnd w:id="2"/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浓度：5U/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μ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L</w:t>
      </w: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0F7F7D"/>
          <w:sz w:val="20"/>
          <w:szCs w:val="20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产品内容：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705"/>
        <w:gridCol w:w="25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43" w:type="pct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组分</w:t>
            </w:r>
          </w:p>
        </w:tc>
        <w:tc>
          <w:tcPr>
            <w:tcW w:w="1587" w:type="pct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DMR1-2a</w:t>
            </w:r>
          </w:p>
        </w:tc>
        <w:tc>
          <w:tcPr>
            <w:tcW w:w="1468" w:type="pct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DMR1-3a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43" w:type="pct"/>
            <w:tcBorders>
              <w:bottom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  <w:t>×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HiFi Buffer（Mg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 xml:space="preserve">2+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free）</w:t>
            </w:r>
          </w:p>
        </w:tc>
        <w:tc>
          <w:tcPr>
            <w:tcW w:w="1587" w:type="pct"/>
            <w:tcBorders>
              <w:bottom w:val="nil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mL</w:t>
            </w:r>
          </w:p>
        </w:tc>
        <w:tc>
          <w:tcPr>
            <w:tcW w:w="1468" w:type="pct"/>
            <w:tcBorders>
              <w:bottom w:val="nil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43" w:type="pct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MgCl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（25mM）</w:t>
            </w:r>
          </w:p>
        </w:tc>
        <w:tc>
          <w:tcPr>
            <w:tcW w:w="1587" w:type="pct"/>
            <w:tcBorders>
              <w:top w:val="nil"/>
              <w:bottom w:val="nil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mL</w:t>
            </w:r>
          </w:p>
        </w:tc>
        <w:tc>
          <w:tcPr>
            <w:tcW w:w="1468" w:type="pct"/>
            <w:tcBorders>
              <w:top w:val="nil"/>
              <w:bottom w:val="nil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5×AA07-500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43" w:type="pct"/>
            <w:tcBorders>
              <w:top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Fast Pfu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DNA Polymerase（5U/μL）</w:t>
            </w:r>
          </w:p>
        </w:tc>
        <w:tc>
          <w:tcPr>
            <w:tcW w:w="1587" w:type="pct"/>
            <w:tcBorders>
              <w:top w:val="nil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 μL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00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68" w:type="pct"/>
            <w:tcBorders>
              <w:top w:val="nil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5×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大包装）</w:t>
            </w: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sz w:val="15"/>
          <w:szCs w:val="16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14:textFill>
            <w14:solidFill>
              <w14:schemeClr w14:val="accent4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产品简介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普通Pfu聚合酶扩增能力差、延仲速度缓慢(0.5kb/min)、扩增产量低，给众多实验者带来不便。Fast Pfu DNA Polymerase是经基因工程改造获得的新一代高保真DNA聚合酶，用于快速PCR扩增。与Pfu酶相比，Fast Pfu DNA Polymerase在保持高保真性的同时，兼具有合成DNA速度快(2~3kb/min,是普通Pfu酶的4~6倍)，抗干扰能力强以及PCR产物的产量获得方面有较显著的提升。本产品适用于有高保真要求的PCR扩增反应，尤其在复杂模板扩增，平端克隆，基因定点突变，长片段扩增，全基因合成等方面具有优秀的表现。</w:t>
      </w:r>
    </w:p>
    <w:p>
      <w:pPr>
        <w:widowControl/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en-US"/>
        </w:rPr>
        <w:t>产品特色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快速扩增:Fast Pfu Polymerase 扩增速度在72℃保温15秒即可延伸 1kb左右。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高灵敏度:对模板DNA需求量较普通Pfu酶低。可从0.05 ng人基因组DNA模板中扩增出1.2kb特定基因片段。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强扩增能力:以λDNA为模板，扩增长度可达12kb，能高效扩增≤6kb片段。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高保真性:具有与Pfu酶相同的保真度。</w:t>
      </w:r>
    </w:p>
    <w:p>
      <w:pPr>
        <w:widowControl/>
        <w:spacing w:line="240" w:lineRule="auto"/>
        <w:ind w:firstLine="0" w:firstLineChars="0"/>
        <w:rPr>
          <w:rFonts w:hint="default" w:ascii="Times New Roman" w:hAnsi="Times New Roman" w:cs="Times New Roman"/>
          <w:b/>
          <w:bCs/>
          <w:color w:val="0F7F7D"/>
          <w:sz w:val="24"/>
          <w:szCs w:val="24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应用范围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常规PCR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基因的高保真扩增、克隆和表达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基因的定点突变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细胞内基因突变分析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活性定义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1单位(U) </w:t>
      </w:r>
      <w:r>
        <w:rPr>
          <w:rFonts w:hint="default" w:ascii="Times New Roman" w:hAnsi="Times New Roman" w:cs="Times New Roman"/>
          <w:sz w:val="18"/>
          <w:szCs w:val="18"/>
        </w:rPr>
        <w:t>Fast Pfu DNA Polymerase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 活力定义为：在72℃ 30分钟内，将10 nmol 同位素标记的 4x dNTP 掺入到酸不溶物质中所需酶的量。</w:t>
      </w:r>
    </w:p>
    <w:p>
      <w:pPr>
        <w:pStyle w:val="2"/>
        <w:spacing w:line="240" w:lineRule="auto"/>
        <w:ind w:right="45"/>
        <w:jc w:val="both"/>
        <w:rPr>
          <w:rFonts w:hint="default" w:ascii="Times New Roman" w:hAnsi="Times New Roman" w:cs="Times New Roman"/>
          <w:kern w:val="2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14:textFill>
            <w14:solidFill>
              <w14:schemeClr w14:val="accent4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酶贮存液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20 mM Tris-HCl (pH8.0), 100 mM KCl, 0.1 mM EDTA, 1 mM DTT,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 xml:space="preserve">0.1%Tween-20(v/v), 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50% Glycerol(v/v)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,</w:t>
      </w:r>
      <w:r>
        <w:rPr>
          <w:rFonts w:hint="default" w:ascii="Times New Roman" w:hAnsi="Times New Roman" w:cs="Times New Roman"/>
          <w:sz w:val="18"/>
          <w:szCs w:val="18"/>
        </w:rPr>
        <w:t>Stabilizers。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14:textFill>
            <w14:solidFill>
              <w14:schemeClr w14:val="accent4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注意事项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1. 其扩增产物为平端可直接克隆于平端载体中，但不能直接用T/A克隆方式克隆。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2. 请于使用前确保产品完全解冻，彻底混匀后短暂离心，置于冰上备用，反复冻融会影响产品的性能。 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3. 为了您的安全和健康，请穿实验服并戴一次性手套操作。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使用建议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Fast Pfu DNA聚合酶产生的PCR产物为平滑末端，无3'端"A"突出，其PCR产物的克隆有两种方案: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1、PCR引物进行5'端加磷酸修饰或将PCR产物磷酸化处理后再直接克隆于平滑末端的载体中。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2、将产物3'末端加A后再与T载体连接。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由于Fast Pfu DNA聚合酶的校对活性可引起引物从3'端被部分降解。因此在设计引物时应适当增加引物的长度，理想的引物长度为20-30bp 碱基。另外为了减少由3'-5'外切酶活性引起的引物降解，尽量在冰上配制反应体系。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PCR反应液组成（50μL）</w:t>
      </w:r>
    </w:p>
    <w:tbl>
      <w:tblPr>
        <w:tblStyle w:val="5"/>
        <w:tblpPr w:leftFromText="180" w:rightFromText="180" w:vertAnchor="text" w:horzAnchor="page" w:tblpX="1798" w:tblpY="21"/>
        <w:tblOverlap w:val="never"/>
        <w:tblW w:w="472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0"/>
        <w:gridCol w:w="3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09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试剂</w:t>
            </w:r>
          </w:p>
        </w:tc>
        <w:tc>
          <w:tcPr>
            <w:tcW w:w="190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体积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096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Fast Pfu DNA Polymerase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（5U/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μL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）</w:t>
            </w:r>
          </w:p>
        </w:tc>
        <w:tc>
          <w:tcPr>
            <w:tcW w:w="1903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0.5 μL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096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10×HiFi Buffer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（Mg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eastAsia="zh-CN"/>
              </w:rPr>
              <w:t xml:space="preserve">2+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free）</w:t>
            </w:r>
          </w:p>
        </w:tc>
        <w:tc>
          <w:tcPr>
            <w:tcW w:w="1903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 μL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096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25 mM MgCl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  <w:lang w:eastAsia="zh-CN"/>
              </w:rPr>
              <w:t xml:space="preserve">2 </w:t>
            </w:r>
          </w:p>
        </w:tc>
        <w:tc>
          <w:tcPr>
            <w:tcW w:w="1903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X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μL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096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dNTP (10mM)</w:t>
            </w:r>
          </w:p>
        </w:tc>
        <w:tc>
          <w:tcPr>
            <w:tcW w:w="1903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 μL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096" w:type="pct"/>
            <w:shd w:val="clear" w:color="auto" w:fill="FFFFFF" w:themeFill="background1"/>
            <w:noWrap/>
          </w:tcPr>
          <w:p>
            <w:pPr>
              <w:pStyle w:val="7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正向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引物 (10μM)</w:t>
            </w:r>
          </w:p>
        </w:tc>
        <w:tc>
          <w:tcPr>
            <w:tcW w:w="1903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1~2 μL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096" w:type="pct"/>
            <w:shd w:val="clear" w:color="auto" w:fill="FFFFFF" w:themeFill="background1"/>
            <w:noWrap/>
          </w:tcPr>
          <w:p>
            <w:pPr>
              <w:pStyle w:val="7"/>
              <w:spacing w:before="1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反向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引物 (10μM)</w:t>
            </w:r>
          </w:p>
        </w:tc>
        <w:tc>
          <w:tcPr>
            <w:tcW w:w="1903" w:type="pct"/>
            <w:shd w:val="clear" w:color="auto" w:fill="FFFFFF" w:themeFill="background1"/>
            <w:noWrap/>
          </w:tcPr>
          <w:p>
            <w:pPr>
              <w:pStyle w:val="7"/>
              <w:spacing w:before="18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1~2 μL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096" w:type="pct"/>
            <w:shd w:val="clear" w:color="auto" w:fill="FFFFFF" w:themeFill="background1"/>
            <w:noWrap/>
          </w:tcPr>
          <w:p>
            <w:pPr>
              <w:pStyle w:val="7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模板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DNA</w:t>
            </w:r>
          </w:p>
        </w:tc>
        <w:tc>
          <w:tcPr>
            <w:tcW w:w="1903" w:type="pct"/>
            <w:shd w:val="clear" w:color="auto" w:fill="FFFFFF" w:themeFill="background1"/>
            <w:noWrap/>
          </w:tcPr>
          <w:p>
            <w:pPr>
              <w:pStyle w:val="7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Y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ng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096" w:type="pct"/>
            <w:tcBorders>
              <w:bottom w:val="single" w:color="auto" w:sz="4" w:space="0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Nase-Free Water</w:t>
            </w:r>
          </w:p>
        </w:tc>
        <w:tc>
          <w:tcPr>
            <w:tcW w:w="1903" w:type="pct"/>
            <w:tcBorders>
              <w:bottom w:val="single" w:color="auto" w:sz="4" w:space="0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u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p to 50 μL</w:t>
            </w:r>
          </w:p>
        </w:tc>
      </w:tr>
    </w:tbl>
    <w:p>
      <w:pPr>
        <w:widowControl/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 xml:space="preserve">*推荐引物终浓度为 0.2~0.4 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</w:rPr>
        <w:t>μ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M，效果不佳时也可在0.1~1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</w:rPr>
        <w:t>μ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 xml:space="preserve">M间进行调整。 </w:t>
      </w:r>
    </w:p>
    <w:p>
      <w:pPr>
        <w:widowControl/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*对于大多数PCR反应，Mg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vertAlign w:val="superscript"/>
          <w:lang w:eastAsia="zh-CN"/>
        </w:rPr>
        <w:t>2+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推荐浓度为1.5~2.5 mM；可用25 mM MgCl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vertAlign w:val="subscript"/>
          <w:lang w:eastAsia="zh-CN"/>
        </w:rPr>
        <w:t>2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以0.5 mM为间隔摸索Mg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vertAlign w:val="superscript"/>
          <w:lang w:eastAsia="zh-CN"/>
        </w:rPr>
        <w:t>2+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最佳使用浓度。</w:t>
      </w:r>
    </w:p>
    <w:p>
      <w:pPr>
        <w:widowControl/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*基因组DNA推荐用量为10~400ng，模板为质粒或病毒DNA时，推荐用量为10pg~20ng。</w:t>
      </w:r>
    </w:p>
    <w:p>
      <w:pPr>
        <w:widowControl/>
        <w:spacing w:line="240" w:lineRule="auto"/>
        <w:rPr>
          <w:rFonts w:hint="default" w:ascii="Times New Roman" w:hAnsi="Times New Roman" w:cs="Times New Roman"/>
          <w:b/>
          <w:bCs/>
          <w:color w:val="0D7F7E"/>
          <w:sz w:val="13"/>
          <w:szCs w:val="13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PCR反应条件</w:t>
      </w:r>
    </w:p>
    <w:tbl>
      <w:tblPr>
        <w:tblStyle w:val="8"/>
        <w:tblpPr w:leftFromText="180" w:rightFromText="180" w:vertAnchor="text" w:horzAnchor="page" w:tblpXSpec="center" w:tblpY="14"/>
        <w:tblOverlap w:val="never"/>
        <w:tblW w:w="906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3"/>
        <w:gridCol w:w="2736"/>
        <w:gridCol w:w="336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29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spacing w:line="240" w:lineRule="auto"/>
              <w:ind w:left="20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95℃</w:t>
            </w:r>
          </w:p>
        </w:tc>
        <w:tc>
          <w:tcPr>
            <w:tcW w:w="273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spacing w:line="240" w:lineRule="auto"/>
              <w:ind w:left="873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3~5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min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预变性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2963" w:type="dxa"/>
            <w:tcBorders>
              <w:top w:val="single" w:color="auto" w:sz="4" w:space="0"/>
            </w:tcBorders>
          </w:tcPr>
          <w:p>
            <w:pPr>
              <w:pStyle w:val="7"/>
              <w:spacing w:line="240" w:lineRule="auto"/>
              <w:ind w:left="20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95℃</w:t>
            </w:r>
          </w:p>
        </w:tc>
        <w:tc>
          <w:tcPr>
            <w:tcW w:w="2736" w:type="dxa"/>
            <w:tcBorders>
              <w:top w:val="single" w:color="auto" w:sz="4" w:space="0"/>
            </w:tcBorders>
          </w:tcPr>
          <w:p>
            <w:pPr>
              <w:pStyle w:val="7"/>
              <w:spacing w:line="240" w:lineRule="auto"/>
              <w:ind w:left="87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 sec</w:t>
            </w:r>
          </w:p>
        </w:tc>
        <w:tc>
          <w:tcPr>
            <w:tcW w:w="3363" w:type="dxa"/>
            <w:tcBorders>
              <w:top w:val="single" w:color="auto" w:sz="4" w:space="0"/>
            </w:tcBorders>
          </w:tcPr>
          <w:p>
            <w:pPr>
              <w:pStyle w:val="7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jc w:val="center"/>
        </w:trPr>
        <w:tc>
          <w:tcPr>
            <w:tcW w:w="2963" w:type="dxa"/>
            <w:tcBorders>
              <w:bottom w:val="nil"/>
            </w:tcBorders>
          </w:tcPr>
          <w:p>
            <w:pPr>
              <w:pStyle w:val="7"/>
              <w:spacing w:before="43" w:line="240" w:lineRule="auto"/>
              <w:ind w:left="20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58℃</w:t>
            </w:r>
          </w:p>
        </w:tc>
        <w:tc>
          <w:tcPr>
            <w:tcW w:w="2736" w:type="dxa"/>
            <w:tcBorders>
              <w:bottom w:val="nil"/>
            </w:tcBorders>
          </w:tcPr>
          <w:p>
            <w:pPr>
              <w:pStyle w:val="7"/>
              <w:spacing w:before="43" w:line="240" w:lineRule="auto"/>
              <w:ind w:left="87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 sec</w:t>
            </w:r>
          </w:p>
        </w:tc>
        <w:tc>
          <w:tcPr>
            <w:tcW w:w="3363" w:type="dxa"/>
            <w:tcBorders>
              <w:bottom w:val="nil"/>
            </w:tcBorders>
          </w:tcPr>
          <w:p>
            <w:pPr>
              <w:pStyle w:val="7"/>
              <w:spacing w:line="240" w:lineRule="auto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30-35cycles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2963" w:type="dxa"/>
            <w:tcBorders>
              <w:top w:val="nil"/>
              <w:bottom w:val="single" w:color="auto" w:sz="4" w:space="0"/>
            </w:tcBorders>
          </w:tcPr>
          <w:p>
            <w:pPr>
              <w:pStyle w:val="7"/>
              <w:spacing w:before="58" w:line="240" w:lineRule="auto"/>
              <w:ind w:left="20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72℃</w:t>
            </w:r>
          </w:p>
        </w:tc>
        <w:tc>
          <w:tcPr>
            <w:tcW w:w="2736" w:type="dxa"/>
            <w:tcBorders>
              <w:top w:val="nil"/>
              <w:bottom w:val="single" w:color="auto" w:sz="4" w:space="0"/>
            </w:tcBorders>
          </w:tcPr>
          <w:p>
            <w:pPr>
              <w:pStyle w:val="7"/>
              <w:spacing w:before="25" w:line="240" w:lineRule="auto"/>
              <w:ind w:left="87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2~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3kb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min</w:t>
            </w:r>
          </w:p>
        </w:tc>
        <w:tc>
          <w:tcPr>
            <w:tcW w:w="3363" w:type="dxa"/>
            <w:tcBorders>
              <w:top w:val="nil"/>
              <w:bottom w:val="single" w:color="auto" w:sz="4" w:space="0"/>
            </w:tcBorders>
          </w:tcPr>
          <w:p>
            <w:pPr>
              <w:pStyle w:val="7"/>
              <w:spacing w:before="41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963" w:type="dxa"/>
            <w:tcBorders>
              <w:top w:val="single" w:color="auto" w:sz="4" w:space="0"/>
            </w:tcBorders>
          </w:tcPr>
          <w:p>
            <w:pPr>
              <w:pStyle w:val="7"/>
              <w:spacing w:before="41" w:line="240" w:lineRule="auto"/>
              <w:ind w:left="20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72℃</w:t>
            </w:r>
          </w:p>
        </w:tc>
        <w:tc>
          <w:tcPr>
            <w:tcW w:w="2736" w:type="dxa"/>
            <w:tcBorders>
              <w:top w:val="single" w:color="auto" w:sz="4" w:space="0"/>
            </w:tcBorders>
          </w:tcPr>
          <w:p>
            <w:pPr>
              <w:pStyle w:val="7"/>
              <w:spacing w:before="41" w:line="240" w:lineRule="auto"/>
              <w:ind w:left="87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 min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3363" w:type="dxa"/>
            <w:tcBorders>
              <w:top w:val="single" w:color="auto" w:sz="4" w:space="0"/>
            </w:tcBorders>
          </w:tcPr>
          <w:p>
            <w:pPr>
              <w:pStyle w:val="7"/>
              <w:spacing w:line="240" w:lineRule="auto"/>
              <w:ind w:firstLine="1440" w:firstLineChars="8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终延伸</w:t>
            </w:r>
          </w:p>
        </w:tc>
      </w:tr>
    </w:tbl>
    <w:p>
      <w:pPr>
        <w:widowControl/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 退火温度需要根据引物的 Tm 值进行调整，一般设置成低于引物 Tm 3~5℃。</w:t>
      </w:r>
    </w:p>
    <w:p>
      <w:pPr>
        <w:spacing w:line="240" w:lineRule="auto"/>
        <w:rPr>
          <w:rFonts w:hint="default" w:ascii="Times New Roman" w:hAnsi="Times New Roman" w:cs="Times New Roman"/>
          <w:lang w:eastAsia="zh-CN"/>
        </w:rPr>
      </w:pPr>
    </w:p>
    <w:p>
      <w:pPr>
        <w:tabs>
          <w:tab w:val="left" w:pos="2496"/>
        </w:tabs>
        <w:spacing w:line="240" w:lineRule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904240</wp:posOffset>
              </wp:positionH>
              <wp:positionV relativeFrom="paragraph">
                <wp:posOffset>74295</wp:posOffset>
              </wp:positionV>
              <wp:extent cx="6103620" cy="692785"/>
              <wp:effectExtent l="0" t="0" r="11430" b="12065"/>
              <wp:wrapNone/>
              <wp:docPr id="5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103620" cy="692785"/>
                      </a:xfrm>
                      <a:custGeom>
                        <a:avLst/>
                        <a:gdLst>
                          <a:gd name="txL" fmla="*/ 2437 w 21600"/>
                          <a:gd name="txT" fmla="*/ 2437 h 21600"/>
                          <a:gd name="txR" fmla="*/ 19162 w 21600"/>
                          <a:gd name="txB" fmla="*/ 19162 h 21600"/>
                        </a:gdLst>
                        <a:ahLst/>
                        <a:cxnLst>
                          <a:cxn ang="0">
                            <a:pos x="20962" y="10800"/>
                          </a:cxn>
                          <a:cxn ang="90">
                            <a:pos x="10800" y="21600"/>
                          </a:cxn>
                          <a:cxn ang="180">
                            <a:pos x="637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275" y="21600"/>
                            </a:lnTo>
                            <a:lnTo>
                              <a:pt x="2032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8" o:spid="_x0000_s1026" o:spt="100" style="position:absolute;left:0pt;margin-left:71.2pt;margin-top:5.85pt;height:54.55pt;width:480.6pt;rotation:11796480f;z-index:251663360;mso-width-relative:page;mso-height-relative:page;" fillcolor="#8CBB35" filled="t" stroked="f" coordsize="21600,21600" o:gfxdata="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Yn5T1QAAAAsB&#10;AAAPAAAAAAAAAAEAIAAAACIAAABkcnMvZG93bnJldi54bWxQSwECFAAUAAAACACHTuJAIC2Ch8kC&#10;AABnBgAADgAAAAAAAAABACAAAAAkAQAAZHJzL2Uyb0RvYy54bWxQSwUGAAAAAAYABgBZAQAAXwYA&#10;AAAA&#10;" path="m0,0l1275,21600,20325,21600,21600,0xe">
              <v:path o:connectlocs="20962,10800;10800,21600;637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210820</wp:posOffset>
          </wp:positionV>
          <wp:extent cx="1811020" cy="721995"/>
          <wp:effectExtent l="0" t="0" r="17780" b="0"/>
          <wp:wrapNone/>
          <wp:docPr id="6" name="图片 11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0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-1138555</wp:posOffset>
              </wp:positionH>
              <wp:positionV relativeFrom="paragraph">
                <wp:posOffset>365125</wp:posOffset>
              </wp:positionV>
              <wp:extent cx="7585710" cy="414020"/>
              <wp:effectExtent l="0" t="0" r="15240" b="508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59460" y="5626735"/>
                        <a:ext cx="7585710" cy="414020"/>
                      </a:xfrm>
                      <a:prstGeom prst="rect">
                        <a:avLst/>
                      </a:prstGeom>
                      <a:solidFill>
                        <a:srgbClr val="45B2B4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-89.65pt;margin-top:28.75pt;height:32.6pt;width:597.3pt;z-index:251659264;mso-width-relative:page;mso-height-relative:page;" fillcolor="#45B2B4" filled="t" stroked="f" coordsize="21600,21600" o:gfxdata="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n1ZXbAAAADAEAAA8AAAAAAAAAAQAgAAAAIgAAAGRycy9kb3ducmV2LnhtbFBLAQIUABQAAAAI&#10;AIdO4kA6Zy5T6gEAALkDAAAOAAAAAAAAAAEAIAAAACoBAABkcnMvZTJvRG9jLnhtbFBLBQYAAAAA&#10;BgAGAFkBAACGBQAAAAA=&#10;">
              <v:fill on="t" opacity="3932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-607060</wp:posOffset>
          </wp:positionV>
          <wp:extent cx="1633855" cy="651510"/>
          <wp:effectExtent l="0" t="0" r="0" b="0"/>
          <wp:wrapNone/>
          <wp:docPr id="4" name="图片 5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925195</wp:posOffset>
              </wp:positionH>
              <wp:positionV relativeFrom="paragraph">
                <wp:posOffset>-548640</wp:posOffset>
              </wp:positionV>
              <wp:extent cx="6003290" cy="678815"/>
              <wp:effectExtent l="0" t="0" r="16510" b="698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3290" cy="678815"/>
                      </a:xfrm>
                      <a:custGeom>
                        <a:avLst/>
                        <a:gdLst>
                          <a:gd name="txL" fmla="*/ 2369 w 21600"/>
                          <a:gd name="txT" fmla="*/ 2369 h 21600"/>
                          <a:gd name="txR" fmla="*/ 19230 w 21600"/>
                          <a:gd name="txB" fmla="*/ 19230 h 21600"/>
                        </a:gdLst>
                        <a:ahLst/>
                        <a:cxnLst>
                          <a:cxn ang="0">
                            <a:pos x="21030" y="10800"/>
                          </a:cxn>
                          <a:cxn ang="90">
                            <a:pos x="10800" y="21600"/>
                          </a:cxn>
                          <a:cxn ang="180">
                            <a:pos x="569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139" y="21600"/>
                            </a:lnTo>
                            <a:lnTo>
                              <a:pt x="20461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45B2B4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100" style="position:absolute;left:0pt;margin-left:72.85pt;margin-top:-43.2pt;height:53.45pt;width:472.7pt;z-index:251661312;mso-width-relative:page;mso-height-relative:page;" fillcolor="#45B2B4" filled="t" stroked="f" coordsize="21600,21600" o:gfxdata="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6h0S93QAA&#10;AAsBAAAPAAAAAAAAAAEAIAAAACIAAABkcnMvZG93bnJldi54bWxQSwECFAAUAAAACACHTuJA/jsb&#10;/sQCAABYBgAADgAAAAAAAAABACAAAAAsAQAAZHJzL2Uyb0RvYy54bWxQSwUGAAAAAAYABgBZAQAA&#10;YgYAAAAA&#10;" path="m0,0l1139,21600,20461,21600,21600,0xe">
              <v:path o:connectlocs="21030,10800;10800,21600;569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542925</wp:posOffset>
              </wp:positionH>
              <wp:positionV relativeFrom="paragraph">
                <wp:posOffset>-551180</wp:posOffset>
              </wp:positionV>
              <wp:extent cx="6348095" cy="468630"/>
              <wp:effectExtent l="0" t="0" r="14605" b="7620"/>
              <wp:wrapNone/>
              <wp:docPr id="2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4340" y="800100"/>
                        <a:ext cx="6348095" cy="468630"/>
                      </a:xfrm>
                      <a:custGeom>
                        <a:avLst/>
                        <a:gdLst>
                          <a:gd name="txL" fmla="*/ 2172 w 21600"/>
                          <a:gd name="txT" fmla="*/ 2172 h 21600"/>
                          <a:gd name="txR" fmla="*/ 19427 w 21600"/>
                          <a:gd name="txB" fmla="*/ 19427 h 21600"/>
                        </a:gdLst>
                        <a:ahLst/>
                        <a:cxnLst>
                          <a:cxn ang="0">
                            <a:pos x="21227" y="10800"/>
                          </a:cxn>
                          <a:cxn ang="90">
                            <a:pos x="10800" y="21600"/>
                          </a:cxn>
                          <a:cxn ang="180">
                            <a:pos x="372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745" y="21600"/>
                            </a:lnTo>
                            <a:lnTo>
                              <a:pt x="2085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3" o:spid="_x0000_s1026" o:spt="100" style="position:absolute;left:0pt;margin-left:42.75pt;margin-top:-43.4pt;height:36.9pt;width:499.85pt;z-index:251660288;mso-width-relative:page;mso-height-relative:page;" fillcolor="#8CBB35" filled="t" stroked="f" coordsize="21600,21600" o:gfxdata="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73Q7HZAAAACwEAAA8AAAAAAAAAAQAgAAAAIgAAAGRycy9kb3ducmV2LnhtbFBLAQIUABQAAAAI&#10;AIdO4kCNBcsm0AIAAGsGAAAOAAAAAAAAAAEAIAAAACgBAABkcnMvZTJvRG9jLnhtbFBLBQYAAAAA&#10;BgAGAFkBAABqBgAAAAA=&#10;" path="m0,0l745,21600,20855,21600,21600,0xe">
              <v:path o:connectlocs="21227,10800;10800,21600;372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E3MDJkMmQxZDBiZDZmNmI4ZWUzNDNiOTAxZWYifQ=="/>
  </w:docVars>
  <w:rsids>
    <w:rsidRoot w:val="00000000"/>
    <w:rsid w:val="141E72D3"/>
    <w:rsid w:val="17EE430C"/>
    <w:rsid w:val="2A886554"/>
    <w:rsid w:val="3FA27597"/>
    <w:rsid w:val="4A435C41"/>
    <w:rsid w:val="6A8B3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autoRedefine/>
    <w:qFormat/>
    <w:uiPriority w:val="1"/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2024-03-05T13:30:00Z</dcterms:created>
  <dc:creator>ASUS</dc:creator>
  <cp:lastModifiedBy>多巴胺</cp:lastModifiedBy>
  <dcterms:modified xsi:type="dcterms:W3CDTF">2024-07-09T05:09:07Z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20DC37BDB0D64A7F9202799E5F6C71B4_13</vt:lpwstr>
  </property>
</Properties>
</file>