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A860B">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SiDoTek™</w:t>
      </w:r>
      <w:r>
        <w:rPr>
          <w:rFonts w:hint="default" w:ascii="Times New Roman" w:hAnsi="Times New Roman" w:cs="Times New Roman" w:eastAsiaTheme="minorEastAsia"/>
          <w:b/>
          <w:bCs/>
          <w:sz w:val="32"/>
          <w:szCs w:val="32"/>
          <w:lang w:eastAsia="zh-CN"/>
        </w:rPr>
        <w:t xml:space="preserve"> </w:t>
      </w:r>
      <w:bookmarkStart w:id="0" w:name="_GoBack"/>
      <w:r>
        <w:rPr>
          <w:rFonts w:hint="default" w:ascii="Times New Roman" w:hAnsi="Times New Roman" w:cs="Times New Roman" w:eastAsiaTheme="minorEastAsia"/>
          <w:b/>
          <w:bCs/>
          <w:sz w:val="32"/>
          <w:szCs w:val="32"/>
          <w:lang w:eastAsia="zh-CN"/>
        </w:rPr>
        <w:t>狗骨髓间充质干细胞</w:t>
      </w:r>
      <w:bookmarkEnd w:id="0"/>
    </w:p>
    <w:p w14:paraId="77F35BC1">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lang w:eastAsia="zh-CN"/>
        </w:rPr>
        <w:t>产品货号：BMSC1002</w:t>
      </w:r>
    </w:p>
    <w:p w14:paraId="3EF9B6AC">
      <w:pPr>
        <w:tabs>
          <w:tab w:val="left" w:pos="2496"/>
        </w:tabs>
        <w:spacing w:line="360" w:lineRule="auto"/>
        <w:rPr>
          <w:rFonts w:hint="default" w:ascii="Times New Roman" w:hAnsi="Times New Roman" w:cs="Times New Roman" w:eastAsiaTheme="minorEastAsia"/>
          <w:sz w:val="21"/>
          <w:szCs w:val="21"/>
          <w:lang w:eastAsia="zh-CN"/>
        </w:rPr>
      </w:pPr>
    </w:p>
    <w:p w14:paraId="690E5592">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产品介绍</w:t>
      </w:r>
    </w:p>
    <w:p w14:paraId="5C357D22">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骨髓间充质干细胞是一类存在于骨髓基质中的多能干细胞。因其具有强大的</w:t>
      </w:r>
      <w:r>
        <w:rPr>
          <w:rFonts w:hint="default" w:ascii="Times New Roman" w:hAnsi="Times New Roman" w:cs="Times New Roman" w:eastAsiaTheme="minorEastAsia"/>
          <w:sz w:val="21"/>
          <w:szCs w:val="21"/>
          <w:lang w:val="en-US" w:eastAsia="zh-CN"/>
        </w:rPr>
        <w:t>增殖</w:t>
      </w:r>
      <w:r>
        <w:rPr>
          <w:rFonts w:hint="default" w:ascii="Times New Roman" w:hAnsi="Times New Roman" w:cs="Times New Roman" w:eastAsiaTheme="minorEastAsia"/>
          <w:sz w:val="21"/>
          <w:szCs w:val="21"/>
          <w:lang w:eastAsia="zh-CN"/>
        </w:rPr>
        <w:t>能力和免疫调节功能，被广泛应用于组织工程、细胞治疗和基因治疗领域。狗骨髓间充质干细胞作为一个研究热点被广泛应用于再生医学和组织工程</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eastAsia="zh-CN"/>
        </w:rPr>
        <w:t>，特别是在骨、心血管和神经系统等疾病领域。SiDoTek™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eastAsia="zh-CN"/>
        </w:rPr>
        <w:t>狗骨髓间充质干细胞取自幼年比格犬的骨髓，拥有强大的增殖和多向分化能力。可作为细胞模型应用于增殖、衰老、免疫、分化和移植研究。</w:t>
      </w:r>
    </w:p>
    <w:p w14:paraId="186E9558">
      <w:pPr>
        <w:tabs>
          <w:tab w:val="left" w:pos="2496"/>
        </w:tabs>
        <w:spacing w:line="360" w:lineRule="auto"/>
        <w:ind w:firstLine="422" w:firstLineChars="200"/>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注意：本产品仅提供给进一步科研使用，不可用于临床治疗等其他用途。</w:t>
      </w:r>
    </w:p>
    <w:p w14:paraId="78A4E2FA">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p>
    <w:p w14:paraId="6B10D20A">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val="en-US" w:eastAsia="zh-CN"/>
        </w:rPr>
        <w:t>产品信息</w:t>
      </w:r>
    </w:p>
    <w:tbl>
      <w:tblPr>
        <w:tblStyle w:val="6"/>
        <w:tblW w:w="7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5649"/>
      </w:tblGrid>
      <w:tr w14:paraId="5F95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70F0F51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产品名称</w:t>
            </w:r>
          </w:p>
        </w:tc>
        <w:tc>
          <w:tcPr>
            <w:tcW w:w="5649" w:type="dxa"/>
            <w:vAlign w:val="top"/>
          </w:tcPr>
          <w:p w14:paraId="1B90470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eastAsia="zh-CN"/>
              </w:rPr>
              <w:t>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kern w:val="2"/>
                <w:sz w:val="21"/>
                <w:szCs w:val="21"/>
                <w:lang w:val="en-US" w:eastAsia="zh-CN" w:bidi="ar-SA"/>
              </w:rPr>
              <w:t>狗骨髓间充质干细胞</w:t>
            </w:r>
          </w:p>
        </w:tc>
      </w:tr>
      <w:tr w14:paraId="27E0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175CA47A">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货号</w:t>
            </w:r>
          </w:p>
        </w:tc>
        <w:tc>
          <w:tcPr>
            <w:tcW w:w="5649" w:type="dxa"/>
            <w:vAlign w:val="top"/>
          </w:tcPr>
          <w:p w14:paraId="134C061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eastAsia"/>
                <w:lang w:val="en-US" w:eastAsia="zh-CN"/>
              </w:rPr>
              <w:t>BMSC</w:t>
            </w:r>
            <w:r>
              <w:rPr>
                <w:rFonts w:hint="eastAsia"/>
              </w:rPr>
              <w:t>100</w:t>
            </w:r>
            <w:r>
              <w:rPr>
                <w:rFonts w:hint="eastAsia"/>
                <w:lang w:val="en-US" w:eastAsia="zh-CN"/>
              </w:rPr>
              <w:t>2</w:t>
            </w:r>
          </w:p>
        </w:tc>
      </w:tr>
      <w:tr w14:paraId="63D3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730CCA8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规格</w:t>
            </w:r>
          </w:p>
        </w:tc>
        <w:tc>
          <w:tcPr>
            <w:tcW w:w="5649" w:type="dxa"/>
            <w:vAlign w:val="top"/>
          </w:tcPr>
          <w:p w14:paraId="6531D1F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个/管 或 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个/瓶</w:t>
            </w:r>
          </w:p>
        </w:tc>
      </w:tr>
      <w:tr w14:paraId="289A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3D051D1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冻存代次</w:t>
            </w:r>
          </w:p>
        </w:tc>
        <w:tc>
          <w:tcPr>
            <w:tcW w:w="5649" w:type="dxa"/>
            <w:vAlign w:val="top"/>
          </w:tcPr>
          <w:p w14:paraId="076B22F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P2</w:t>
            </w:r>
          </w:p>
        </w:tc>
      </w:tr>
      <w:tr w14:paraId="4170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045D28B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保存条件</w:t>
            </w:r>
          </w:p>
        </w:tc>
        <w:tc>
          <w:tcPr>
            <w:tcW w:w="5649" w:type="dxa"/>
            <w:vAlign w:val="top"/>
          </w:tcPr>
          <w:p w14:paraId="33F6F18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液氮（-196℃)</w:t>
            </w:r>
          </w:p>
        </w:tc>
      </w:tr>
    </w:tbl>
    <w:p w14:paraId="75F4AEE0">
      <w:pPr>
        <w:tabs>
          <w:tab w:val="left" w:pos="2496"/>
        </w:tabs>
        <w:spacing w:line="360" w:lineRule="auto"/>
        <w:rPr>
          <w:rFonts w:hint="default" w:ascii="Times New Roman" w:hAnsi="Times New Roman" w:cs="Times New Roman" w:eastAsiaTheme="minorEastAsia"/>
          <w:sz w:val="21"/>
          <w:szCs w:val="21"/>
          <w:lang w:val="en-US" w:eastAsia="zh-CN"/>
        </w:rPr>
      </w:pPr>
    </w:p>
    <w:p w14:paraId="2DABE09A">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质量控制</w:t>
      </w:r>
    </w:p>
    <w:p w14:paraId="1874E02F">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通过细菌、真菌、支原体、内毒素检测。</w:t>
      </w:r>
    </w:p>
    <w:p w14:paraId="401961A5">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通过细胞复苏活力检测，复苏存活率&gt;80%。</w:t>
      </w:r>
    </w:p>
    <w:p w14:paraId="5ED8D957">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通过细胞周期检测，倍增周期&lt;72 h。</w:t>
      </w:r>
    </w:p>
    <w:p w14:paraId="50338057">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通过流式检测，CD29、CD44为阳性（&gt;70%）；HLA-DR为阴性（&lt;5%）。</w:t>
      </w:r>
    </w:p>
    <w:p w14:paraId="387DF41D">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具有良好的分化能力，可经诱导分化为成骨细胞、脂肪细胞、成软骨细胞等。</w:t>
      </w:r>
    </w:p>
    <w:p w14:paraId="650485D7">
      <w:pPr>
        <w:numPr>
          <w:ilvl w:val="0"/>
          <w:numId w:val="0"/>
        </w:numPr>
        <w:tabs>
          <w:tab w:val="left" w:pos="2496"/>
        </w:tabs>
        <w:spacing w:line="360" w:lineRule="auto"/>
        <w:rPr>
          <w:rFonts w:hint="default" w:ascii="Times New Roman" w:hAnsi="Times New Roman" w:cs="Times New Roman" w:eastAsiaTheme="minorEastAsia"/>
          <w:sz w:val="21"/>
          <w:szCs w:val="21"/>
          <w:lang w:val="en-US" w:eastAsia="zh-CN"/>
        </w:rPr>
      </w:pPr>
    </w:p>
    <w:p w14:paraId="1C4C5550">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处理原则</w:t>
      </w:r>
    </w:p>
    <w:p w14:paraId="1DC1C2FD">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严格的无菌环境。务必保证实验室整体、超净台和培养箱的清洁。</w:t>
      </w:r>
    </w:p>
    <w:p w14:paraId="377B6414">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规范的操作方式。请按照产品说明书描述的方式操作，严格控制变量，做好对照实验。</w:t>
      </w:r>
    </w:p>
    <w:p w14:paraId="3DE21912">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需要合适的、质量可靠的实验耗材和试剂。本产品需使用适合贴壁细胞生长的培养容器，且不建议重复使用。使用的试剂必须经验证可靠，适宜细胞生长且批间差异小。</w:t>
      </w:r>
    </w:p>
    <w:p w14:paraId="024353D1">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骨髓间充质干细胞在体外增殖能力有限，且不能长期保持分化潜能。 基于丰富的细胞培养经验和性能优异的培养体系，</w:t>
      </w:r>
      <w:r>
        <w:rPr>
          <w:rFonts w:hint="default" w:ascii="Times New Roman" w:hAnsi="Times New Roman" w:cs="Times New Roman" w:eastAsiaTheme="minorEastAsia"/>
          <w:sz w:val="21"/>
          <w:szCs w:val="21"/>
          <w:lang w:eastAsia="zh-CN"/>
        </w:rPr>
        <w:t>SiDoTek™</w:t>
      </w:r>
      <w:r>
        <w:rPr>
          <w:rFonts w:hint="default" w:ascii="Times New Roman" w:hAnsi="Times New Roman" w:cs="Times New Roman" w:eastAsiaTheme="minorEastAsia"/>
          <w:sz w:val="21"/>
          <w:szCs w:val="21"/>
          <w:lang w:val="en-US" w:eastAsia="zh-CN"/>
        </w:rPr>
        <w:t xml:space="preserve"> 狗骨髓间充质干细胞可在体外传代5次以上依然保持各项指标合格。但我们始终建议尽可能使用较低代次细胞进行科研工作。</w:t>
      </w:r>
    </w:p>
    <w:p w14:paraId="0F7CFBC1">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通常狗骨髓间充质干细胞接种密度为（2.5~4）×10</w:t>
      </w:r>
      <w:r>
        <w:rPr>
          <w:rFonts w:hint="default" w:ascii="Times New Roman" w:hAnsi="Times New Roman" w:cs="Times New Roman" w:eastAsiaTheme="minorEastAsia"/>
          <w:sz w:val="21"/>
          <w:szCs w:val="21"/>
          <w:vertAlign w:val="superscript"/>
          <w:lang w:val="en-US" w:eastAsia="zh-CN"/>
        </w:rPr>
        <w:t>4</w:t>
      </w:r>
      <w:r>
        <w:rPr>
          <w:rFonts w:hint="default" w:ascii="Times New Roman" w:hAnsi="Times New Roman" w:cs="Times New Roman" w:eastAsiaTheme="minorEastAsia"/>
          <w:sz w:val="21"/>
          <w:szCs w:val="21"/>
          <w:lang w:val="en-US" w:eastAsia="zh-CN"/>
        </w:rPr>
        <w:t>个活细胞/cm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。该细胞的生长与供体自身特性和后续培养体系的关系极大。我们建议根据各批次、各代次实际生长情况按比例传代培养。</w:t>
      </w:r>
    </w:p>
    <w:p w14:paraId="5AEF069F">
      <w:pPr>
        <w:numPr>
          <w:ilvl w:val="0"/>
          <w:numId w:val="0"/>
        </w:num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注意：本产品冻存液中含有DMSO，其具有潜在风险，请谨慎处理。</w:t>
      </w:r>
    </w:p>
    <w:p w14:paraId="41B23971">
      <w:pPr>
        <w:tabs>
          <w:tab w:val="left" w:pos="2496"/>
        </w:tabs>
        <w:spacing w:line="360" w:lineRule="auto"/>
        <w:rPr>
          <w:rFonts w:hint="default" w:ascii="Times New Roman" w:hAnsi="Times New Roman" w:cs="Times New Roman" w:eastAsiaTheme="minorEastAsia"/>
          <w:sz w:val="21"/>
          <w:szCs w:val="21"/>
          <w:lang w:val="en-US" w:eastAsia="zh-CN"/>
        </w:rPr>
      </w:pPr>
    </w:p>
    <w:p w14:paraId="5FEBCB20">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细胞的复苏和培养</w:t>
      </w:r>
    </w:p>
    <w:p w14:paraId="3E2E3AD3">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490A1E28">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狗骨髓间充质干细胞</w:t>
      </w:r>
    </w:p>
    <w:p w14:paraId="3169974F">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狗骨髓间充质干细胞完全培养基（货号：SD-CAXMX-90011，以下简称完全培养基）</w:t>
      </w:r>
    </w:p>
    <w:p w14:paraId="2C82FD29">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2052E3CA">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注意：收到的细胞如24 h内复苏，可存放于-80℃冰箱；超过24 h请存放于液氮中，复苏前10 min取出，放于-80℃ , 让管中液氮挥发。</w:t>
      </w:r>
    </w:p>
    <w:p w14:paraId="2FC9E245">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水浴锅37℃预热。</w:t>
      </w:r>
    </w:p>
    <w:p w14:paraId="0CF6DDBF">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完全培养基温浴到37℃。</w:t>
      </w:r>
    </w:p>
    <w:p w14:paraId="6D7C1237">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在15 mL离心管中加入5 mL以上完全培养基备用。</w:t>
      </w:r>
    </w:p>
    <w:p w14:paraId="6B194FC9">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从-80℃冰箱中取出细胞，放入37℃水浴锅中，快速晃动，使冻存液迅速融化。</w:t>
      </w:r>
    </w:p>
    <w:p w14:paraId="1B3ACBCB">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 融化过程必须晃动冻存管，保证冻存液融化迅速、均匀；晃动时应避免水没过管盖造成污染；管内冻存液融化至只剩一个约2 mm直径的冰晶时，即停止水浴。继续晃动冻存管，至冰晶融化。</w:t>
      </w:r>
    </w:p>
    <w:p w14:paraId="763FC3D7">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用75%医用酒精擦拭冻存管外表面。</w:t>
      </w:r>
    </w:p>
    <w:p w14:paraId="40483B57">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在超净台中打开冻存管，用巴氏吸管或移液枪吸取细胞冻存悬液，转移至先前准备的离心管中。</w:t>
      </w:r>
    </w:p>
    <w:p w14:paraId="1F950FB3">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用1 mL完全培养基洗涤冻存管1次，收集残留细胞，减少损失。</w:t>
      </w:r>
    </w:p>
    <w:p w14:paraId="039F3152">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细胞悬液以250×g离心4 min。</w:t>
      </w:r>
    </w:p>
    <w:p w14:paraId="7805AA4A">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注意：请以公式a=ω</w:t>
      </w:r>
      <w:r>
        <w:rPr>
          <w:rFonts w:hint="default" w:ascii="Times New Roman" w:hAnsi="Times New Roman" w:cs="Times New Roman" w:eastAsiaTheme="minorEastAsia"/>
          <w:b/>
          <w:bCs/>
          <w:sz w:val="21"/>
          <w:szCs w:val="21"/>
          <w:vertAlign w:val="superscript"/>
          <w:lang w:val="en-US" w:eastAsia="zh-CN"/>
        </w:rPr>
        <w:t>2</w:t>
      </w:r>
      <w:r>
        <w:rPr>
          <w:rFonts w:hint="default" w:ascii="Times New Roman" w:hAnsi="Times New Roman" w:cs="Times New Roman" w:eastAsiaTheme="minorEastAsia"/>
          <w:b/>
          <w:bCs/>
          <w:sz w:val="21"/>
          <w:szCs w:val="21"/>
          <w:lang w:val="en-US" w:eastAsia="zh-CN"/>
        </w:rPr>
        <w:t xml:space="preserve"> r（a:向心加速度；ω:旋转角速度，ω=πn/30；r:转子半径）计算相应转速。</w:t>
      </w:r>
    </w:p>
    <w:p w14:paraId="24178779">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1DC16374">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将细胞平均接种到1个T25培养瓶或底面积相当的培养容器中。 加入足量完全培养基， 1个T25培养瓶中培养基总量不少于5 mL。</w:t>
      </w:r>
    </w:p>
    <w:p w14:paraId="127C9B9E">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摇匀细胞，放入37℃、5% 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饱和湿度的CO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培养箱中。</w:t>
      </w:r>
    </w:p>
    <w:p w14:paraId="085397FE">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注意：接种2 h内不可移动、观察细胞。这会严重影响细胞贴壁，造成状态不佳、细胞聚团、贴壁不均匀等情况。</w:t>
      </w:r>
    </w:p>
    <w:p w14:paraId="0D6CA12C">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复苏次日，观察细胞状态，并更换新鲜的完全培养基或传代。</w:t>
      </w:r>
    </w:p>
    <w:p w14:paraId="511C19C0">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注意：若发现大量漂浮细胞或其他异常情况，应及时排查原因，并与我们联系。</w:t>
      </w:r>
    </w:p>
    <w:p w14:paraId="15786058">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之后每2天更换一次完全培养基，直到细胞生长至90%汇合，即需传代。</w:t>
      </w:r>
    </w:p>
    <w:p w14:paraId="7D952B54">
      <w:pPr>
        <w:widowControl w:val="0"/>
        <w:numPr>
          <w:ilvl w:val="0"/>
          <w:numId w:val="0"/>
        </w:numPr>
        <w:tabs>
          <w:tab w:val="left" w:pos="2496"/>
        </w:tabs>
        <w:spacing w:line="360" w:lineRule="auto"/>
        <w:ind w:leftChars="0"/>
        <w:jc w:val="both"/>
        <w:rPr>
          <w:rFonts w:hint="default" w:ascii="Times New Roman" w:hAnsi="Times New Roman" w:cs="Times New Roman" w:eastAsiaTheme="minorEastAsia"/>
          <w:sz w:val="21"/>
          <w:szCs w:val="21"/>
          <w:lang w:val="en-US" w:eastAsia="zh-CN"/>
        </w:rPr>
      </w:pPr>
    </w:p>
    <w:p w14:paraId="52AB75AE">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细胞的传代</w:t>
      </w:r>
    </w:p>
    <w:p w14:paraId="082B4D59">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5A8A612C">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0.25% Trypsin-0.04% EDTA（货号：SD-TEDTA-10001，以下简称胰酶）</w:t>
      </w:r>
    </w:p>
    <w:p w14:paraId="4C6A480B">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Phosphate-Buffered Saline (1×PBS) （货号：SD-PBS-10001，以下简称PBS）</w:t>
      </w:r>
    </w:p>
    <w:p w14:paraId="0F80CC1E">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SiDoTek™ 狗骨髓间充质干细胞完全培养基（货号：SD-CAXMX-90011）</w:t>
      </w:r>
    </w:p>
    <w:p w14:paraId="63F72DF0">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08CFB9CE">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将完全培养基、PBS、胰酶预热至37℃。</w:t>
      </w:r>
    </w:p>
    <w:p w14:paraId="5DA460CA">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吸去培养容器中的培养基。</w:t>
      </w:r>
    </w:p>
    <w:p w14:paraId="06D94331">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用PBS（T25培养瓶加入约3 mL，T75培养瓶加入约6 mL）洗涤细胞2次，注意动作轻柔，清洗全面。吸去PBS。</w:t>
      </w:r>
    </w:p>
    <w:p w14:paraId="336F2BDB">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加入胰酶（T25培养瓶加入约1.5 mL，T75培养瓶加入约3 mL），迅速铺匀，保证充分接触细胞表面。</w:t>
      </w:r>
    </w:p>
    <w:p w14:paraId="5CF0F532">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 显微镜下观察消化情况，约70%~80%细胞收缩变圆后，轻拍培养容器外壁，使细胞脱离培养表面。</w:t>
      </w:r>
    </w:p>
    <w:p w14:paraId="7BDFDDFF">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立即加入完全培养基（T25培养瓶加入约3 mL，T75培养瓶加入约6 mL），随即轻摇培养容器，使培养基和胰酶迅速混匀，终止消化。</w:t>
      </w:r>
    </w:p>
    <w:p w14:paraId="5ECDFBA9">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使用吸管或移液管吸取细胞悬液，吹打培养容器底面数次，尽可能将细胞都吹打下来。</w:t>
      </w:r>
    </w:p>
    <w:p w14:paraId="6771C75B">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注意：吹打动作不可剧烈，避免产生大量气泡，否则可能损伤和损失细胞。</w:t>
      </w:r>
    </w:p>
    <w:p w14:paraId="70DFAE74">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将细胞悬液转移至离心管中。用PBS（T25培养瓶加入约3 mL，T75培养瓶加入约6 mL） 洗涤容器1次，收集残留细胞。</w:t>
      </w:r>
    </w:p>
    <w:p w14:paraId="0443E340">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收集的所有细胞悬液以250×g离心4 min。</w:t>
      </w:r>
    </w:p>
    <w:p w14:paraId="28B211C4">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684667C4">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将细胞按（2.5~4）×10</w:t>
      </w:r>
      <w:r>
        <w:rPr>
          <w:rFonts w:hint="default" w:ascii="Times New Roman" w:hAnsi="Times New Roman" w:cs="Times New Roman" w:eastAsiaTheme="minorEastAsia"/>
          <w:sz w:val="21"/>
          <w:szCs w:val="21"/>
          <w:vertAlign w:val="superscript"/>
          <w:lang w:val="en-US" w:eastAsia="zh-CN"/>
        </w:rPr>
        <w:t>4</w:t>
      </w:r>
      <w:r>
        <w:rPr>
          <w:rFonts w:hint="default" w:ascii="Times New Roman" w:hAnsi="Times New Roman" w:cs="Times New Roman" w:eastAsiaTheme="minorEastAsia"/>
          <w:sz w:val="21"/>
          <w:szCs w:val="21"/>
          <w:lang w:val="en-US" w:eastAsia="zh-CN"/>
        </w:rPr>
        <w:t>个活细胞/cm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接种至适宜的培养容器内。</w:t>
      </w:r>
    </w:p>
    <w:p w14:paraId="094D73DD">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培养狗骨髓间充质干细胞对于细胞密度有较高的要求，我们建议有条件且计数效率较高的情况下，进行手工计数，以期获得精准的细胞浓度指导接种；在没有精确计数条件的情况下，按照适宜比例传代是更好的方法。通常SiDoTek™ 狗骨髓间充质干细胞传代比例为1:3，72 h内生长至可传代汇合度。请根据细胞实际生长情况调整传代比例。</w:t>
      </w:r>
    </w:p>
    <w:p w14:paraId="41C0FB27">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摇匀细胞，放入37℃、5%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培养箱中。</w:t>
      </w:r>
    </w:p>
    <w:p w14:paraId="428FCFB9">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传代次日，观察细胞状态。若发现较多漂浮细胞，应予以换液。</w:t>
      </w:r>
    </w:p>
    <w:p w14:paraId="5C5AB0EB">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14. 待细胞生长至90%汇合，即需传代或冻存。</w:t>
      </w:r>
    </w:p>
    <w:p w14:paraId="684D716C">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注意：正常情况下SiDoTek™ 狗骨髓间充质干细胞每代生长时间不超过72 h，中途不需要换液。频繁换液会破坏构建起的细胞微环境。</w:t>
      </w:r>
    </w:p>
    <w:p w14:paraId="4BF81C57">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p>
    <w:p w14:paraId="52C81EEC">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细胞的冻存</w:t>
      </w:r>
    </w:p>
    <w:p w14:paraId="0F687246">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5DA97797">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通用无蛋白非程序冻存液（货号：SD-NCPF-10001）</w:t>
      </w:r>
    </w:p>
    <w:p w14:paraId="39CF007E">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通用血清型程序冻存液（货号：SD-CYRO-10001）</w:t>
      </w:r>
    </w:p>
    <w:p w14:paraId="6B1E54EA">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229A3E99">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若选用SiDoTek™ 通用血清型程序冻存液，请在操作前将程序降温盒放入4℃冰箱内预冷</w:t>
      </w:r>
      <w:r>
        <w:rPr>
          <w:rFonts w:hint="eastAsia" w:ascii="Times New Roman" w:hAnsi="Times New Roman" w:cs="Times New Roman" w:eastAsiaTheme="minorEastAsia"/>
          <w:sz w:val="21"/>
          <w:szCs w:val="21"/>
          <w:lang w:val="en-US" w:eastAsia="zh-CN"/>
        </w:rPr>
        <w:t>。</w:t>
      </w:r>
    </w:p>
    <w:p w14:paraId="674E907F">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待细胞生长至可传代的密度，即可准备冻存。</w:t>
      </w:r>
    </w:p>
    <w:p w14:paraId="2A413E15">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细胞消化请参考SiDoTek™ 狗骨髓间充质干细胞的传代操作步骤1~9。</w:t>
      </w:r>
    </w:p>
    <w:p w14:paraId="48CCBBC3">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离心后去除上清，用适量冻存液均匀重悬细胞。</w:t>
      </w:r>
    </w:p>
    <w:p w14:paraId="717068B1">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 将细胞按比例或数量分装至冻存管中。</w:t>
      </w:r>
    </w:p>
    <w:p w14:paraId="2BC38BC8">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在没有成熟的计数条件下，我们建议将细胞按比例分装冻存即可，长时间在非培养条件下放置会严重影响细胞的状态。在计数时，我们建议将细胞放置于4℃冰箱内，以减弱细胞代谢，较好地保持细胞状态。</w:t>
      </w:r>
    </w:p>
    <w:p w14:paraId="1A7932FF">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若选用SiDoTek™ 通用血清型程序冻存液，将冻存管放入预冷的程序降温盒中，再将程序降温盒放入-80℃冰箱中。若选用SiDoTek™ 通用无蛋白非程序冻存液，请将冻存管直接分散放入-80℃冰箱中。</w:t>
      </w:r>
    </w:p>
    <w:p w14:paraId="2E8A2C7A">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注意：细胞冻存期间，特别是开始冻存的4 h内，不可打开冰箱门，这将严重影响细胞冷冻存活率。</w:t>
      </w:r>
    </w:p>
    <w:p w14:paraId="6E0EEAAC">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8 h后即可将细胞转移入液氮长期保存。</w:t>
      </w:r>
    </w:p>
    <w:p w14:paraId="2E2941E7">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注意：细胞不可长期保存在-80℃冰箱中。我们建议在-80℃冰箱中的保存时间不要超过48 h。</w:t>
      </w:r>
    </w:p>
    <w:p w14:paraId="5C135F66">
      <w:pPr>
        <w:tabs>
          <w:tab w:val="left" w:pos="2496"/>
        </w:tabs>
        <w:spacing w:line="360" w:lineRule="auto"/>
        <w:rPr>
          <w:rFonts w:hint="default" w:ascii="Times New Roman" w:hAnsi="Times New Roman" w:cs="Times New Roman" w:eastAsiaTheme="minorEastAsia"/>
          <w:b/>
          <w:bCs/>
          <w:sz w:val="21"/>
          <w:szCs w:val="21"/>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BBC54">
    <w:pPr>
      <w:pStyle w:val="3"/>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column">
                <wp:posOffset>904240</wp:posOffset>
              </wp:positionH>
              <wp:positionV relativeFrom="paragraph">
                <wp:posOffset>74295</wp:posOffset>
              </wp:positionV>
              <wp:extent cx="6103620" cy="692785"/>
              <wp:effectExtent l="0" t="0" r="11430" b="12065"/>
              <wp:wrapNone/>
              <wp:docPr id="5" name="自选图形 8"/>
              <wp:cNvGraphicFramePr/>
              <a:graphic xmlns:a="http://schemas.openxmlformats.org/drawingml/2006/main">
                <a:graphicData uri="http://schemas.microsoft.com/office/word/2010/wordprocessingShape">
                  <wps:wsp>
                    <wps:cNvSpPr/>
                    <wps:spPr>
                      <a:xfrm rot="10800000">
                        <a:off x="0" y="0"/>
                        <a:ext cx="6103620" cy="692785"/>
                      </a:xfrm>
                      <a:custGeom>
                        <a:avLst/>
                        <a:gdLst>
                          <a:gd name="txL" fmla="*/ 2437 w 21600"/>
                          <a:gd name="txT" fmla="*/ 2437 h 21600"/>
                          <a:gd name="txR" fmla="*/ 19162 w 21600"/>
                          <a:gd name="txB" fmla="*/ 19162 h 21600"/>
                        </a:gdLst>
                        <a:ahLst/>
                        <a:cxnLst>
                          <a:cxn ang="0">
                            <a:pos x="20962" y="10800"/>
                          </a:cxn>
                          <a:cxn ang="90">
                            <a:pos x="10800" y="21600"/>
                          </a:cxn>
                          <a:cxn ang="180">
                            <a:pos x="637" y="10800"/>
                          </a:cxn>
                          <a:cxn ang="270">
                            <a:pos x="10800" y="0"/>
                          </a:cxn>
                        </a:cxnLst>
                        <a:rect l="txL" t="txT" r="txR" b="txB"/>
                        <a:pathLst>
                          <a:path w="21600" h="21600">
                            <a:moveTo>
                              <a:pt x="0" y="0"/>
                            </a:moveTo>
                            <a:lnTo>
                              <a:pt x="1275" y="21600"/>
                            </a:lnTo>
                            <a:lnTo>
                              <a:pt x="20325" y="21600"/>
                            </a:lnTo>
                            <a:lnTo>
                              <a:pt x="21600" y="0"/>
                            </a:lnTo>
                            <a:close/>
                          </a:path>
                        </a:pathLst>
                      </a:custGeom>
                      <a:solidFill>
                        <a:srgbClr val="8CBB35">
                          <a:alpha val="59999"/>
                        </a:srgbClr>
                      </a:solidFill>
                      <a:ln>
                        <a:noFill/>
                      </a:ln>
                    </wps:spPr>
                    <wps:bodyPr vert="horz" anchor="t" anchorCtr="0" upright="1"/>
                  </wps:wsp>
                </a:graphicData>
              </a:graphic>
            </wp:anchor>
          </w:drawing>
        </mc:Choice>
        <mc:Fallback>
          <w:pict>
            <v:shape id="自选图形 8" o:spid="_x0000_s1026" o:spt="100" style="position:absolute;left:0pt;margin-left:71.2pt;margin-top:5.85pt;height:54.55pt;width:480.6pt;rotation:11796480f;z-index:251663360;mso-width-relative:page;mso-height-relative:page;" fillcolor="#8CBB35" filled="t" stroked="f" coordsize="21600,21600" o:gfxdata="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uYn5T1QAAAAsB&#10;AAAPAAAAAAAAAAEAIAAAACIAAABkcnMvZG93bnJldi54bWxQSwECFAAUAAAACACHTuJAIC2Ch8kC&#10;AABnBgAADgAAAAAAAAABACAAAAAkAQAAZHJzL2Uyb0RvYy54bWxQSwUGAAAAAAYABgBZAQAAXwYA&#10;AAAA&#10;" path="m0,0l1275,21600,20325,21600,21600,0xe">
              <v:path o:connectlocs="20962,10800;10800,21600;637,10800;10800,0" o:connectangles="0,0,0,0"/>
              <v:fill on="t" opacity="39320f" focussize="0,0"/>
              <v:stroke on="f"/>
              <v:imagedata o:title=""/>
              <o:lock v:ext="edit" aspectratio="f"/>
            </v:shape>
          </w:pict>
        </mc:Fallback>
      </mc:AlternateContent>
    </w:r>
    <w:r>
      <w:rPr>
        <w:rFonts w:hint="eastAsia" w:eastAsia="宋体"/>
        <w:lang w:eastAsia="zh-CN"/>
      </w:rPr>
      <w:drawing>
        <wp:anchor distT="0" distB="0" distL="114300" distR="114300" simplePos="0" relativeHeight="251664384" behindDoc="0" locked="0" layoutInCell="1" allowOverlap="1">
          <wp:simplePos x="0" y="0"/>
          <wp:positionH relativeFrom="column">
            <wp:posOffset>-1059180</wp:posOffset>
          </wp:positionH>
          <wp:positionV relativeFrom="paragraph">
            <wp:posOffset>210820</wp:posOffset>
          </wp:positionV>
          <wp:extent cx="1811020" cy="721995"/>
          <wp:effectExtent l="0" t="0" r="17780" b="0"/>
          <wp:wrapNone/>
          <wp:docPr id="6" name="图片 11"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西岛生物 SiDoTek 横板_画板 1"/>
                  <pic:cNvPicPr>
                    <a:picLocks noChangeAspect="1"/>
                  </pic:cNvPicPr>
                </pic:nvPicPr>
                <pic:blipFill>
                  <a:blip r:embed="rId1"/>
                  <a:stretch>
                    <a:fillRect/>
                  </a:stretch>
                </pic:blipFill>
                <pic:spPr>
                  <a:xfrm>
                    <a:off x="0" y="0"/>
                    <a:ext cx="1811020" cy="721995"/>
                  </a:xfrm>
                  <a:prstGeom prst="rect">
                    <a:avLst/>
                  </a:prstGeom>
                  <a:noFill/>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365125</wp:posOffset>
              </wp:positionV>
              <wp:extent cx="7585710" cy="414020"/>
              <wp:effectExtent l="0" t="0" r="15240" b="5080"/>
              <wp:wrapNone/>
              <wp:docPr id="1" name="矩形 9"/>
              <wp:cNvGraphicFramePr/>
              <a:graphic xmlns:a="http://schemas.openxmlformats.org/drawingml/2006/main">
                <a:graphicData uri="http://schemas.microsoft.com/office/word/2010/wordprocessingShape">
                  <wps:wsp>
                    <wps:cNvSpPr/>
                    <wps:spPr>
                      <a:xfrm>
                        <a:off x="759460" y="5626735"/>
                        <a:ext cx="7585710" cy="414020"/>
                      </a:xfrm>
                      <a:prstGeom prst="rect">
                        <a:avLst/>
                      </a:prstGeom>
                      <a:solidFill>
                        <a:srgbClr val="45B2B4">
                          <a:alpha val="59999"/>
                        </a:srgbClr>
                      </a:solidFill>
                      <a:ln w="9525">
                        <a:noFill/>
                      </a:ln>
                    </wps:spPr>
                    <wps:bodyPr vert="horz" anchor="t" anchorCtr="0" upright="1"/>
                  </wps:wsp>
                </a:graphicData>
              </a:graphic>
            </wp:anchor>
          </w:drawing>
        </mc:Choice>
        <mc:Fallback>
          <w:pict>
            <v:rect id="矩形 9" o:spid="_x0000_s1026" o:spt="1" style="position:absolute;left:0pt;margin-left:-89.65pt;margin-top:28.75pt;height:32.6pt;width:597.3pt;z-index:251659264;mso-width-relative:page;mso-height-relative:page;" fillcolor="#45B2B4" filled="t" stroked="f" coordsize="21600,21600" o:gfxdata="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Un1ZXbAAAADAEAAA8AAAAAAAAAAQAgAAAAIgAAAGRycy9kb3ducmV2LnhtbFBLAQIUABQAAAAI&#10;AIdO4kA6Zy5T6gEAALkDAAAOAAAAAAAAAAEAIAAAACoBAABkcnMvZTJvRG9jLnhtbFBLBQYAAAAA&#10;BgAGAFkBAACGBQAAAAA=&#10;">
              <v:fill on="t" opacity="39320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F7EFD">
    <w:pPr>
      <w:pStyle w:val="4"/>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-1087755</wp:posOffset>
          </wp:positionH>
          <wp:positionV relativeFrom="paragraph">
            <wp:posOffset>-607060</wp:posOffset>
          </wp:positionV>
          <wp:extent cx="1633855" cy="651510"/>
          <wp:effectExtent l="0" t="0" r="0" b="0"/>
          <wp:wrapNone/>
          <wp:docPr id="4" name="图片 5"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西岛生物 SiDoTek 横板_画板 1"/>
                  <pic:cNvPicPr>
                    <a:picLocks noChangeAspect="1"/>
                  </pic:cNvPicPr>
                </pic:nvPicPr>
                <pic:blipFill>
                  <a:blip r:embed="rId1"/>
                  <a:stretch>
                    <a:fillRect/>
                  </a:stretch>
                </pic:blipFill>
                <pic:spPr>
                  <a:xfrm>
                    <a:off x="0" y="0"/>
                    <a:ext cx="1633855" cy="651510"/>
                  </a:xfrm>
                  <a:prstGeom prst="rect">
                    <a:avLst/>
                  </a:prstGeom>
                  <a:noFill/>
                  <a:ln>
                    <a:noFill/>
                  </a:ln>
                </pic:spPr>
              </pic:pic>
            </a:graphicData>
          </a:graphic>
        </wp:anchor>
      </w:drawing>
    </w:r>
    <w:r>
      <w:rPr>
        <w:sz w:val="18"/>
      </w:rPr>
      <mc:AlternateContent>
        <mc:Choice Requires="wps">
          <w:drawing>
            <wp:anchor distT="0" distB="0" distL="114300" distR="114300" simplePos="0" relativeHeight="251661312" behindDoc="0" locked="0" layoutInCell="1" allowOverlap="1">
              <wp:simplePos x="0" y="0"/>
              <wp:positionH relativeFrom="column">
                <wp:posOffset>925195</wp:posOffset>
              </wp:positionH>
              <wp:positionV relativeFrom="paragraph">
                <wp:posOffset>-548640</wp:posOffset>
              </wp:positionV>
              <wp:extent cx="6003290" cy="678815"/>
              <wp:effectExtent l="0" t="0" r="16510" b="6985"/>
              <wp:wrapNone/>
              <wp:docPr id="3" name="自选图形 4"/>
              <wp:cNvGraphicFramePr/>
              <a:graphic xmlns:a="http://schemas.openxmlformats.org/drawingml/2006/main">
                <a:graphicData uri="http://schemas.microsoft.com/office/word/2010/wordprocessingShape">
                  <wps:wsp>
                    <wps:cNvSpPr/>
                    <wps:spPr>
                      <a:xfrm>
                        <a:off x="0" y="0"/>
                        <a:ext cx="6003290" cy="678815"/>
                      </a:xfrm>
                      <a:custGeom>
                        <a:avLst/>
                        <a:gdLst>
                          <a:gd name="txL" fmla="*/ 2369 w 21600"/>
                          <a:gd name="txT" fmla="*/ 2369 h 21600"/>
                          <a:gd name="txR" fmla="*/ 19230 w 21600"/>
                          <a:gd name="txB" fmla="*/ 19230 h 21600"/>
                        </a:gdLst>
                        <a:ahLst/>
                        <a:cxnLst>
                          <a:cxn ang="0">
                            <a:pos x="21030" y="10800"/>
                          </a:cxn>
                          <a:cxn ang="90">
                            <a:pos x="10800" y="21600"/>
                          </a:cxn>
                          <a:cxn ang="180">
                            <a:pos x="569" y="10800"/>
                          </a:cxn>
                          <a:cxn ang="270">
                            <a:pos x="10800" y="0"/>
                          </a:cxn>
                        </a:cxnLst>
                        <a:rect l="txL" t="txT" r="txR" b="txB"/>
                        <a:pathLst>
                          <a:path w="21600" h="21600">
                            <a:moveTo>
                              <a:pt x="0" y="0"/>
                            </a:moveTo>
                            <a:lnTo>
                              <a:pt x="1139" y="21600"/>
                            </a:lnTo>
                            <a:lnTo>
                              <a:pt x="20461" y="21600"/>
                            </a:lnTo>
                            <a:lnTo>
                              <a:pt x="21600" y="0"/>
                            </a:lnTo>
                            <a:close/>
                          </a:path>
                        </a:pathLst>
                      </a:custGeom>
                      <a:solidFill>
                        <a:srgbClr val="45B2B4">
                          <a:alpha val="59999"/>
                        </a:srgbClr>
                      </a:solidFill>
                      <a:ln>
                        <a:noFill/>
                      </a:ln>
                    </wps:spPr>
                    <wps:bodyPr vert="horz" anchor="t" anchorCtr="0" upright="1"/>
                  </wps:wsp>
                </a:graphicData>
              </a:graphic>
            </wp:anchor>
          </w:drawing>
        </mc:Choice>
        <mc:Fallback>
          <w:pict>
            <v:shape id="自选图形 4" o:spid="_x0000_s1026" o:spt="100" style="position:absolute;left:0pt;margin-left:72.85pt;margin-top:-43.2pt;height:53.45pt;width:472.7pt;z-index:251661312;mso-width-relative:page;mso-height-relative:page;" fillcolor="#45B2B4" filled="t" stroked="f" coordsize="21600,21600" o:gfxdata="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6h0S93QAA&#10;AAsBAAAPAAAAAAAAAAEAIAAAACIAAABkcnMvZG93bnJldi54bWxQSwECFAAUAAAACACHTuJA/jsb&#10;/sQCAABYBgAADgAAAAAAAAABACAAAAAsAQAAZHJzL2Uyb0RvYy54bWxQSwUGAAAAAAYABgBZAQAA&#10;YgYAAAAA&#10;" path="m0,0l1139,21600,20461,21600,21600,0xe">
              <v:path o:connectlocs="21030,10800;10800,21600;569,10800;10800,0" o:connectangles="0,0,0,0"/>
              <v:fill on="t" opacity="39320f" focussize="0,0"/>
              <v:stroke on="f"/>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-551180</wp:posOffset>
              </wp:positionV>
              <wp:extent cx="6348095" cy="468630"/>
              <wp:effectExtent l="0" t="0" r="14605" b="7620"/>
              <wp:wrapNone/>
              <wp:docPr id="2" name="自选图形 3"/>
              <wp:cNvGraphicFramePr/>
              <a:graphic xmlns:a="http://schemas.openxmlformats.org/drawingml/2006/main">
                <a:graphicData uri="http://schemas.microsoft.com/office/word/2010/wordprocessingShape">
                  <wps:wsp>
                    <wps:cNvSpPr/>
                    <wps:spPr>
                      <a:xfrm>
                        <a:off x="1704340" y="800100"/>
                        <a:ext cx="6348095" cy="468630"/>
                      </a:xfrm>
                      <a:custGeom>
                        <a:avLst/>
                        <a:gdLst>
                          <a:gd name="txL" fmla="*/ 2172 w 21600"/>
                          <a:gd name="txT" fmla="*/ 2172 h 21600"/>
                          <a:gd name="txR" fmla="*/ 19427 w 21600"/>
                          <a:gd name="txB" fmla="*/ 19427 h 21600"/>
                        </a:gdLst>
                        <a:ahLst/>
                        <a:cxnLst>
                          <a:cxn ang="0">
                            <a:pos x="21227" y="10800"/>
                          </a:cxn>
                          <a:cxn ang="90">
                            <a:pos x="10800" y="21600"/>
                          </a:cxn>
                          <a:cxn ang="180">
                            <a:pos x="372" y="10800"/>
                          </a:cxn>
                          <a:cxn ang="270">
                            <a:pos x="10800" y="0"/>
                          </a:cxn>
                        </a:cxnLst>
                        <a:rect l="txL" t="txT" r="txR" b="txB"/>
                        <a:pathLst>
                          <a:path w="21600" h="21600">
                            <a:moveTo>
                              <a:pt x="0" y="0"/>
                            </a:moveTo>
                            <a:lnTo>
                              <a:pt x="745" y="21600"/>
                            </a:lnTo>
                            <a:lnTo>
                              <a:pt x="20855" y="21600"/>
                            </a:lnTo>
                            <a:lnTo>
                              <a:pt x="21600" y="0"/>
                            </a:lnTo>
                            <a:close/>
                          </a:path>
                        </a:pathLst>
                      </a:custGeom>
                      <a:solidFill>
                        <a:srgbClr val="8CBB35">
                          <a:alpha val="59999"/>
                        </a:srgbClr>
                      </a:solidFill>
                      <a:ln w="9525">
                        <a:noFill/>
                      </a:ln>
                    </wps:spPr>
                    <wps:bodyPr vert="horz" anchor="t" anchorCtr="0" upright="1"/>
                  </wps:wsp>
                </a:graphicData>
              </a:graphic>
            </wp:anchor>
          </w:drawing>
        </mc:Choice>
        <mc:Fallback>
          <w:pict>
            <v:shape id="自选图形 3" o:spid="_x0000_s1026" o:spt="100" style="position:absolute;left:0pt;margin-left:42.75pt;margin-top:-43.4pt;height:36.9pt;width:499.85pt;z-index:251660288;mso-width-relative:page;mso-height-relative:page;" fillcolor="#8CBB35" filled="t" stroked="f" coordsize="21600,21600" o:gfxdata="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O73Q7HZAAAACwEAAA8AAAAAAAAAAQAgAAAAIgAAAGRycy9kb3ducmV2LnhtbFBLAQIUABQAAAAI&#10;AIdO4kCNBcsm0AIAAGsGAAAOAAAAAAAAAAEAIAAAACgBAABkcnMvZTJvRG9jLnhtbFBLBQYAAAAA&#10;BgAGAFkBAABqBgAAAAA=&#10;" path="m0,0l745,21600,20855,21600,21600,0xe">
              <v:path o:connectlocs="21227,10800;10800,21600;372,10800;10800,0" o:connectangles="0,0,0,0"/>
              <v:fill on="t" opacity="39320f"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016514"/>
    <w:multiLevelType w:val="singleLevel"/>
    <w:tmpl w:val="4E016514"/>
    <w:lvl w:ilvl="0" w:tentative="0">
      <w:start w:val="1"/>
      <w:numFmt w:val="decimal"/>
      <w:suff w:val="space"/>
      <w:lvlText w:val="%1."/>
      <w:lvlJc w:val="left"/>
    </w:lvl>
  </w:abstractNum>
  <w:abstractNum w:abstractNumId="1">
    <w:nsid w:val="54F88A71"/>
    <w:multiLevelType w:val="singleLevel"/>
    <w:tmpl w:val="54F88A71"/>
    <w:lvl w:ilvl="0" w:tentative="0">
      <w:start w:val="1"/>
      <w:numFmt w:val="decimal"/>
      <w:suff w:val="space"/>
      <w:lvlText w:val="%1."/>
      <w:lvlJc w:val="left"/>
    </w:lvl>
  </w:abstractNum>
  <w:abstractNum w:abstractNumId="2">
    <w:nsid w:val="5B7624C0"/>
    <w:multiLevelType w:val="singleLevel"/>
    <w:tmpl w:val="5B7624C0"/>
    <w:lvl w:ilvl="0" w:tentative="0">
      <w:start w:val="1"/>
      <w:numFmt w:val="decimal"/>
      <w:suff w:val="space"/>
      <w:lvlText w:val="%1."/>
      <w:lvlJc w:val="left"/>
    </w:lvl>
  </w:abstractNum>
  <w:abstractNum w:abstractNumId="3">
    <w:nsid w:val="7B22C6C5"/>
    <w:multiLevelType w:val="singleLevel"/>
    <w:tmpl w:val="7B22C6C5"/>
    <w:lvl w:ilvl="0" w:tentative="0">
      <w:start w:val="8"/>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E3MDJkMmQxZDBiZDZmNmI4ZWUzNDNiOTAxZWYifQ=="/>
  </w:docVars>
  <w:rsids>
    <w:rsidRoot w:val="00000000"/>
    <w:rsid w:val="141E72D3"/>
    <w:rsid w:val="2A886554"/>
    <w:rsid w:val="2E277C09"/>
    <w:rsid w:val="36B667E1"/>
    <w:rsid w:val="578B6E00"/>
    <w:rsid w:val="5E1B16CF"/>
    <w:rsid w:val="5EA67D62"/>
    <w:rsid w:val="5F331A3A"/>
    <w:rsid w:val="67265EE2"/>
    <w:rsid w:val="67952F01"/>
    <w:rsid w:val="6A8B3FD6"/>
    <w:rsid w:val="6D0B1E05"/>
    <w:rsid w:val="70653C52"/>
    <w:rsid w:val="720D5E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微软雅黑" w:hAnsi="微软雅黑" w:eastAsia="微软雅黑" w:cs="微软雅黑"/>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2633</Words>
  <Characters>3121</Characters>
  <Lines>0</Lines>
  <Paragraphs>0</Paragraphs>
  <TotalTime>0</TotalTime>
  <ScaleCrop>false</ScaleCrop>
  <LinksUpToDate>false</LinksUpToDate>
  <CharactersWithSpaces>3205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2024-03-05T13:30:00Z</dcterms:created>
  <dc:creator>ASUS</dc:creator>
  <cp:lastModifiedBy>杨凯尧</cp:lastModifiedBy>
  <dcterms:modified xsi:type="dcterms:W3CDTF">2024-12-13T02:12:21Z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20DC37BDB0D64A7F9202799E5F6C71B4_13</vt:lpwstr>
  </property>
</Properties>
</file>