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74421">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小鼠胚胎干细胞无血清培养基Ⅱ型（无饲养层）</w:t>
      </w:r>
    </w:p>
    <w:p w14:paraId="133A9AE9">
      <w:pPr>
        <w:tabs>
          <w:tab w:val="left" w:pos="2496"/>
        </w:tabs>
        <w:spacing w:line="360" w:lineRule="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eastAsia="zh-CN"/>
        </w:rPr>
        <w:t>产品货号：</w:t>
      </w:r>
      <w:bookmarkStart w:id="0" w:name="_GoBack"/>
      <w:r>
        <w:rPr>
          <w:rFonts w:hint="default" w:ascii="Times New Roman" w:hAnsi="Times New Roman" w:cs="Times New Roman" w:eastAsiaTheme="minorEastAsia"/>
          <w:b/>
          <w:bCs/>
          <w:sz w:val="32"/>
          <w:szCs w:val="32"/>
          <w:lang w:eastAsia="zh-CN"/>
        </w:rPr>
        <w:t>ESC200</w:t>
      </w:r>
      <w:r>
        <w:rPr>
          <w:rFonts w:hint="eastAsia" w:ascii="Times New Roman" w:hAnsi="Times New Roman" w:cs="Times New Roman" w:eastAsiaTheme="minorEastAsia"/>
          <w:b/>
          <w:bCs/>
          <w:sz w:val="32"/>
          <w:szCs w:val="32"/>
          <w:lang w:val="en-US" w:eastAsia="zh-CN"/>
        </w:rPr>
        <w:t>3</w:t>
      </w:r>
      <w:bookmarkEnd w:id="0"/>
    </w:p>
    <w:p w14:paraId="340E9932">
      <w:pPr>
        <w:tabs>
          <w:tab w:val="left" w:pos="2496"/>
        </w:tabs>
        <w:spacing w:line="360" w:lineRule="auto"/>
        <w:rPr>
          <w:rFonts w:hint="default" w:ascii="Times New Roman" w:hAnsi="Times New Roman" w:cs="Times New Roman" w:eastAsiaTheme="minorEastAsia"/>
          <w:sz w:val="21"/>
          <w:szCs w:val="21"/>
          <w:lang w:eastAsia="zh-CN"/>
        </w:rPr>
      </w:pPr>
    </w:p>
    <w:p w14:paraId="0AB106D6">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产品介绍</w:t>
      </w:r>
    </w:p>
    <w:p w14:paraId="1A9DB9CC">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由SiDoTek™研发团队精心优化的SiDoTek™小鼠胚胎干细胞无血清培养基Ⅱ型（无饲养层），包括小鼠胚胎干细胞Ⅱ型无血清基础培养基、经筛选配比的无血清添加物及其他辅助成分。该产品适用于小鼠胚胎干细胞的无血清无饲养层的培养；可维持小鼠胚胎干细胞在无血清无饲养层的生长环境下良好的增殖特性及高度未分化全能性，并保持正确的核型。</w:t>
      </w:r>
    </w:p>
    <w:p w14:paraId="6FD2F297">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2201C1E3">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2FAB3E78">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套装</w:t>
      </w:r>
      <w:r>
        <w:rPr>
          <w:rFonts w:hint="default" w:ascii="Times New Roman" w:hAnsi="Times New Roman" w:cs="Times New Roman" w:eastAsiaTheme="minorEastAsia"/>
          <w:b/>
          <w:bCs/>
          <w:sz w:val="21"/>
          <w:szCs w:val="21"/>
          <w:lang w:eastAsia="zh-CN"/>
        </w:rPr>
        <w:t>成分</w:t>
      </w:r>
    </w:p>
    <w:tbl>
      <w:tblPr>
        <w:tblStyle w:val="6"/>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0"/>
        <w:gridCol w:w="2202"/>
        <w:gridCol w:w="1307"/>
        <w:gridCol w:w="1332"/>
      </w:tblGrid>
      <w:tr w14:paraId="3E0C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0" w:type="dxa"/>
          </w:tcPr>
          <w:p w14:paraId="4665A447">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套装成分</w:t>
            </w:r>
          </w:p>
        </w:tc>
        <w:tc>
          <w:tcPr>
            <w:tcW w:w="2202" w:type="dxa"/>
          </w:tcPr>
          <w:p w14:paraId="52B5E903">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货号</w:t>
            </w:r>
          </w:p>
        </w:tc>
        <w:tc>
          <w:tcPr>
            <w:tcW w:w="1307" w:type="dxa"/>
            <w:vAlign w:val="top"/>
          </w:tcPr>
          <w:p w14:paraId="389B766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kern w:val="2"/>
                <w:sz w:val="21"/>
                <w:szCs w:val="21"/>
                <w:vertAlign w:val="baseline"/>
                <w:lang w:val="en-US" w:eastAsia="zh-CN" w:bidi="ar-SA"/>
              </w:rPr>
            </w:pPr>
            <w:r>
              <w:rPr>
                <w:rFonts w:hint="default" w:ascii="Times New Roman" w:hAnsi="Times New Roman" w:cs="Times New Roman" w:eastAsiaTheme="minorEastAsia"/>
                <w:b/>
                <w:bCs/>
                <w:kern w:val="2"/>
                <w:sz w:val="21"/>
                <w:szCs w:val="21"/>
                <w:vertAlign w:val="baseline"/>
                <w:lang w:val="en-US" w:eastAsia="zh-CN" w:bidi="ar-SA"/>
              </w:rPr>
              <w:t>500 mL/Kit</w:t>
            </w:r>
          </w:p>
        </w:tc>
        <w:tc>
          <w:tcPr>
            <w:tcW w:w="1332" w:type="dxa"/>
            <w:vAlign w:val="top"/>
          </w:tcPr>
          <w:p w14:paraId="52E02DA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kern w:val="2"/>
                <w:sz w:val="21"/>
                <w:szCs w:val="21"/>
                <w:vertAlign w:val="baseline"/>
                <w:lang w:val="en-US" w:eastAsia="zh-CN" w:bidi="ar-SA"/>
              </w:rPr>
            </w:pPr>
            <w:r>
              <w:rPr>
                <w:rFonts w:hint="default" w:ascii="Times New Roman" w:hAnsi="Times New Roman" w:cs="Times New Roman" w:eastAsiaTheme="minorEastAsia"/>
                <w:b/>
                <w:bCs/>
                <w:kern w:val="2"/>
                <w:sz w:val="21"/>
                <w:szCs w:val="21"/>
                <w:vertAlign w:val="baseline"/>
                <w:lang w:val="en-US" w:eastAsia="zh-CN" w:bidi="ar-SA"/>
              </w:rPr>
              <w:t>200 mL/Kit</w:t>
            </w:r>
          </w:p>
        </w:tc>
      </w:tr>
      <w:tr w14:paraId="7798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0" w:type="dxa"/>
          </w:tcPr>
          <w:p w14:paraId="23221137">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细胞基础培养基</w:t>
            </w:r>
          </w:p>
          <w:p w14:paraId="23A72290">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Basal Medium For Cell Culture</w:t>
            </w:r>
          </w:p>
        </w:tc>
        <w:tc>
          <w:tcPr>
            <w:tcW w:w="2202" w:type="dxa"/>
            <w:vAlign w:val="top"/>
          </w:tcPr>
          <w:p w14:paraId="3CEBE8E7">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SD-BKOD-03011</w:t>
            </w:r>
          </w:p>
        </w:tc>
        <w:tc>
          <w:tcPr>
            <w:tcW w:w="1307" w:type="dxa"/>
            <w:vAlign w:val="top"/>
          </w:tcPr>
          <w:p w14:paraId="557750FE">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480 mL</w:t>
            </w:r>
          </w:p>
        </w:tc>
        <w:tc>
          <w:tcPr>
            <w:tcW w:w="1332" w:type="dxa"/>
            <w:vAlign w:val="top"/>
          </w:tcPr>
          <w:p w14:paraId="2DE3F87D">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192 mL</w:t>
            </w:r>
          </w:p>
        </w:tc>
      </w:tr>
      <w:tr w14:paraId="6C9A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0" w:type="dxa"/>
          </w:tcPr>
          <w:p w14:paraId="2724FF46">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小鼠胚胎干细胞培养添加物1</w:t>
            </w:r>
          </w:p>
          <w:p w14:paraId="575C4F37">
            <w:pPr>
              <w:tabs>
                <w:tab w:val="left" w:pos="2496"/>
              </w:tabs>
              <w:spacing w:line="360" w:lineRule="auto"/>
              <w:rPr>
                <w:rFonts w:hint="default" w:ascii="Times New Roman" w:hAnsi="Times New Roman" w:cs="Times New Roman" w:eastAsiaTheme="minorEastAsia"/>
                <w:b w:val="0"/>
                <w:bCs w:val="0"/>
                <w:sz w:val="21"/>
                <w:szCs w:val="21"/>
                <w:vertAlign w:val="baseline"/>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Culture Supplement（For Mouse Embryonic Stem Cell Serum Free Culture -1）</w:t>
            </w:r>
          </w:p>
        </w:tc>
        <w:tc>
          <w:tcPr>
            <w:tcW w:w="2202" w:type="dxa"/>
            <w:vAlign w:val="top"/>
          </w:tcPr>
          <w:p w14:paraId="1F260311">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SD-MUXES-04061-1</w:t>
            </w:r>
          </w:p>
        </w:tc>
        <w:tc>
          <w:tcPr>
            <w:tcW w:w="1307" w:type="dxa"/>
            <w:vAlign w:val="top"/>
          </w:tcPr>
          <w:p w14:paraId="787DBA2B">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5 mL</w:t>
            </w:r>
          </w:p>
        </w:tc>
        <w:tc>
          <w:tcPr>
            <w:tcW w:w="1332" w:type="dxa"/>
            <w:vAlign w:val="top"/>
          </w:tcPr>
          <w:p w14:paraId="6A85DBE7">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 mL</w:t>
            </w:r>
          </w:p>
        </w:tc>
      </w:tr>
      <w:tr w14:paraId="530B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0" w:type="dxa"/>
          </w:tcPr>
          <w:p w14:paraId="0482F4A4">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小鼠胚胎干细胞培养添加物2</w:t>
            </w:r>
          </w:p>
          <w:p w14:paraId="2F107B9D">
            <w:pPr>
              <w:tabs>
                <w:tab w:val="left" w:pos="2496"/>
              </w:tabs>
              <w:spacing w:line="360" w:lineRule="auto"/>
              <w:jc w:val="left"/>
              <w:rPr>
                <w:rFonts w:hint="default" w:ascii="Times New Roman" w:hAnsi="Times New Roman" w:cs="Times New Roman" w:eastAsiaTheme="minorEastAsia"/>
                <w:b w:val="0"/>
                <w:bCs w:val="0"/>
                <w:sz w:val="21"/>
                <w:szCs w:val="21"/>
                <w:vertAlign w:val="baseline"/>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Culture Supplement（For Mouse Embryonic Stem Cell Serum Free Culture -2）</w:t>
            </w:r>
          </w:p>
        </w:tc>
        <w:tc>
          <w:tcPr>
            <w:tcW w:w="2202" w:type="dxa"/>
            <w:vAlign w:val="top"/>
          </w:tcPr>
          <w:p w14:paraId="3C373802">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SD-MUXES-04061-2</w:t>
            </w:r>
          </w:p>
        </w:tc>
        <w:tc>
          <w:tcPr>
            <w:tcW w:w="1307" w:type="dxa"/>
            <w:vAlign w:val="top"/>
          </w:tcPr>
          <w:p w14:paraId="0FB10537">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15 mL</w:t>
            </w:r>
          </w:p>
        </w:tc>
        <w:tc>
          <w:tcPr>
            <w:tcW w:w="1332" w:type="dxa"/>
            <w:vAlign w:val="top"/>
          </w:tcPr>
          <w:p w14:paraId="7BB40196">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6 mL</w:t>
            </w:r>
          </w:p>
        </w:tc>
      </w:tr>
    </w:tbl>
    <w:p w14:paraId="0FD5AC9C">
      <w:pPr>
        <w:tabs>
          <w:tab w:val="left" w:pos="2496"/>
        </w:tabs>
        <w:spacing w:line="360" w:lineRule="auto"/>
        <w:rPr>
          <w:rFonts w:hint="default" w:ascii="Times New Roman" w:hAnsi="Times New Roman" w:cs="Times New Roman" w:eastAsiaTheme="minorEastAsia"/>
          <w:sz w:val="21"/>
          <w:szCs w:val="21"/>
          <w:lang w:val="en-US" w:eastAsia="zh-CN"/>
        </w:rPr>
      </w:pPr>
    </w:p>
    <w:p w14:paraId="5D52B75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1A61F6EF">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001C1B30">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通过渗透压、pH检测。</w:t>
      </w:r>
    </w:p>
    <w:p w14:paraId="786C85C0">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通过产品性能检测。</w:t>
      </w:r>
    </w:p>
    <w:p w14:paraId="5027ABE0">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12DCF36F">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1C8ABF21">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严格的无菌环境。务必保证实验室整体和操作区域的清洁。</w:t>
      </w:r>
    </w:p>
    <w:p w14:paraId="72CC7B41">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16225F7C">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各成分需按照保存条件妥善存放，并尽快使用。</w:t>
      </w:r>
    </w:p>
    <w:p w14:paraId="47139F7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若短期内无法用完整套培养基，应按套装内各成分体积比例分批配制并分装保存。</w:t>
      </w:r>
    </w:p>
    <w:p w14:paraId="7A92217D">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713DAE4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产品稳定性及保存条件</w:t>
      </w:r>
    </w:p>
    <w:p w14:paraId="097891E3">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套装内所有成分均需避光保存。</w:t>
      </w:r>
    </w:p>
    <w:p w14:paraId="442787B4">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套装内基础培养基需置于4℃冰箱保存，保质期为1年；其他成分需置于-20℃保存，保质期为2年。</w:t>
      </w:r>
    </w:p>
    <w:p w14:paraId="47DBAEDC">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配制后的完全培养基，需放置4℃保存，保质期为1个月；若能保证培养条件稳定，容器密封性能良好，避免冷热交替，则保质期可适当延长，但不得超过45天。</w:t>
      </w:r>
    </w:p>
    <w:p w14:paraId="7319A115">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所有产品请于保质期内使用；过期的成分可能严重影响培养效果。</w:t>
      </w:r>
    </w:p>
    <w:p w14:paraId="28E11BAE">
      <w:pPr>
        <w:tabs>
          <w:tab w:val="left" w:pos="2496"/>
        </w:tabs>
        <w:spacing w:line="360" w:lineRule="auto"/>
        <w:rPr>
          <w:rFonts w:hint="default" w:ascii="Times New Roman" w:hAnsi="Times New Roman" w:cs="Times New Roman" w:eastAsiaTheme="minorEastAsia"/>
          <w:sz w:val="21"/>
          <w:szCs w:val="21"/>
          <w:lang w:val="en-US" w:eastAsia="zh-CN"/>
        </w:rPr>
      </w:pPr>
    </w:p>
    <w:p w14:paraId="4D6F752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完全培养基的配制</w:t>
      </w:r>
    </w:p>
    <w:p w14:paraId="2B42E61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0971FD28">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SiDoTek™小鼠胚胎干细胞无血清培养基Ⅱ型（无饲养层）套装</w:t>
      </w:r>
    </w:p>
    <w:p w14:paraId="477A943A">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清洁、无菌、质量稳定的一次性耗材（移液管、移液器吸头、离心管等）</w:t>
      </w:r>
    </w:p>
    <w:p w14:paraId="27B4BC47">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洁净的封口膜、铝箔纸等避光材料</w:t>
      </w:r>
    </w:p>
    <w:p w14:paraId="5553C048">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148C44A7">
      <w:pPr>
        <w:numPr>
          <w:ilvl w:val="0"/>
          <w:numId w:val="6"/>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配制前至少1 h，将套装中的2种SiDoTek™培养添加物放置于4℃冰箱内完全融化。</w:t>
      </w:r>
    </w:p>
    <w:p w14:paraId="1D660ABE">
      <w:pPr>
        <w:numPr>
          <w:ilvl w:val="0"/>
          <w:numId w:val="6"/>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用75%医用酒精仔细擦拭所有成分外包装。在超净台内打开包装。</w:t>
      </w:r>
    </w:p>
    <w:p w14:paraId="2B0A91D1">
      <w:pPr>
        <w:numPr>
          <w:ilvl w:val="0"/>
          <w:numId w:val="6"/>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将培养添加物全部加入SiDoTek™细胞基础培养基中。</w:t>
      </w:r>
    </w:p>
    <w:p w14:paraId="54E6BC91">
      <w:pPr>
        <w:numPr>
          <w:ilvl w:val="0"/>
          <w:numId w:val="6"/>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拧紧基础培养基瓶盖，轻柔并充分摇匀。</w:t>
      </w:r>
    </w:p>
    <w:p w14:paraId="60D44328">
      <w:pPr>
        <w:numPr>
          <w:ilvl w:val="0"/>
          <w:numId w:val="6"/>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用封口膜密封瓶口，用铝箔纸包裹瓶身，并标注名称、配制日期等信息。</w:t>
      </w:r>
    </w:p>
    <w:p w14:paraId="5B1CEFC2">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特别提醒</w:t>
      </w:r>
    </w:p>
    <w:p w14:paraId="7241C77F">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若短期内无法用完全部培养基，我们建议分批配制；请按照套装内各成分比例，配制所需量；但剩余的成分必须严格按照各自的保存条件妥善保存，并且不可多次冻融。请根据自己需求选择是否添加抗生素，如需添加请自购。</w:t>
      </w:r>
    </w:p>
    <w:p w14:paraId="22CF3B95">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SiDoTek™小鼠胚胎干细胞无血清培养基Ⅱ型（无饲养层）套装内的所有成分都严格控制无菌，一般情况下我们不建议再次除菌。若配制过程有污染风险，可将完全培养基过滤除菌。</w:t>
      </w:r>
    </w:p>
    <w:p w14:paraId="0A93464D">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5B37733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培养表面明胶包被</w:t>
      </w:r>
    </w:p>
    <w:p w14:paraId="77B0CA1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E616349">
      <w:pPr>
        <w:numPr>
          <w:ilvl w:val="0"/>
          <w:numId w:val="0"/>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SiDoTek™ 0.1% Gelatin Solution（货号：SD-GLT-11301）</w:t>
      </w:r>
    </w:p>
    <w:p w14:paraId="562920A0">
      <w:pPr>
        <w:numPr>
          <w:ilvl w:val="0"/>
          <w:numId w:val="7"/>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4184771C">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注意：为了使小鼠胚胎干细胞在无血清的条件下更好的生长，强烈建议对培养器皿表面进行明胶包被。</w:t>
      </w:r>
    </w:p>
    <w:p w14:paraId="63AE53CB">
      <w:pPr>
        <w:numPr>
          <w:ilvl w:val="0"/>
          <w:numId w:val="8"/>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加入足量的0.1%的明胶溶液，使之覆盖整个培养器皿底部。</w:t>
      </w:r>
    </w:p>
    <w:p w14:paraId="01CB6EDD">
      <w:pPr>
        <w:numPr>
          <w:ilvl w:val="0"/>
          <w:numId w:val="8"/>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室温放置至少30 min。</w:t>
      </w:r>
    </w:p>
    <w:p w14:paraId="60572C07">
      <w:pPr>
        <w:numPr>
          <w:ilvl w:val="0"/>
          <w:numId w:val="8"/>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如果不立即使用，可用封口膜封口放置于4℃保存。请在一周内使用完毕。</w:t>
      </w:r>
    </w:p>
    <w:p w14:paraId="279F9702">
      <w:pPr>
        <w:numPr>
          <w:ilvl w:val="0"/>
          <w:numId w:val="8"/>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使用前，吸去明胶溶液，晾干备用。</w:t>
      </w:r>
    </w:p>
    <w:p w14:paraId="18ABA493">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5FB59540">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小鼠胚胎干细胞培养条件的转换</w:t>
      </w:r>
    </w:p>
    <w:p w14:paraId="661C7A4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E36DDB9">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 SiDoTek™ 0.25% Trypsin-0.04% EDTA（货号：SD-TEDTA-10001）</w:t>
      </w:r>
    </w:p>
    <w:p w14:paraId="0DBBFB09">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 SiDoTek™ Phosphate-Buffered Saline (1×PBS) （货号：SD-PBS-10001）</w:t>
      </w:r>
    </w:p>
    <w:p w14:paraId="647BD694">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3. SiDoTek™ 小鼠胚胎干细胞无血清完全培养基（I型）（无血清有饲养层，货号：SD-MUXES-90062）</w:t>
      </w:r>
    </w:p>
    <w:p w14:paraId="0D1FBE98">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4. SiDoTek™ 小鼠胚胎干细胞无血清完全培养基（II型）（无血清无饲养层，货号： SD-MUXES-90061）</w:t>
      </w:r>
    </w:p>
    <w:p w14:paraId="6E31C28F">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为了使细胞获得更好的状态，强烈建议配套使用SiDoTek™小鼠胚胎干细胞I型无血清完全培养基（无血清有饲养层）（货号：SD-MUXES-90062）将细胞从有血清有饲养层条件先过渡至无血清有饲养层的培养体系培养1~2代后，再过渡至无血清无饲养层培养体系进行培养。</w:t>
      </w:r>
    </w:p>
    <w:p w14:paraId="029A7041">
      <w:pPr>
        <w:numPr>
          <w:ilvl w:val="0"/>
          <w:numId w:val="9"/>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操作步骤（无血清有饲养层→无血清无饲养层）</w:t>
      </w:r>
    </w:p>
    <w:p w14:paraId="262DF1B2">
      <w:pPr>
        <w:numPr>
          <w:ilvl w:val="0"/>
          <w:numId w:val="10"/>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对培养在小鼠胚胎干细胞I型无血清完全培养基中的小鼠胚胎干细胞进行消化。</w:t>
      </w:r>
    </w:p>
    <w:p w14:paraId="02D3809D">
      <w:pPr>
        <w:numPr>
          <w:ilvl w:val="0"/>
          <w:numId w:val="10"/>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250×g，5 min进行离心收集细胞。</w:t>
      </w:r>
    </w:p>
    <w:p w14:paraId="7C699F6F">
      <w:pPr>
        <w:numPr>
          <w:ilvl w:val="0"/>
          <w:numId w:val="10"/>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用原培养基重悬小鼠胚胎干细胞，全部接种至事先包被了明胶的培养器皿中。放置于 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培养箱中培养。目的是为了尽可能去除原细胞群体中的  Feeder细胞。</w:t>
      </w:r>
    </w:p>
    <w:p w14:paraId="277060E9">
      <w:pPr>
        <w:numPr>
          <w:ilvl w:val="0"/>
          <w:numId w:val="10"/>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30~40 min后（具体时间以Feeder贴壁程度来判断），收集上清培养基，250×g，5 min离心。</w:t>
      </w:r>
    </w:p>
    <w:p w14:paraId="719EA015">
      <w:pPr>
        <w:numPr>
          <w:ilvl w:val="0"/>
          <w:numId w:val="0"/>
        </w:numPr>
        <w:tabs>
          <w:tab w:val="left" w:pos="2496"/>
        </w:tabs>
        <w:spacing w:line="360" w:lineRule="auto"/>
        <w:ind w:leftChars="0"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注意：因小鼠胚胎干细胞I型无血清完全培养基培养中的Feeder能形成膜状物，消化时可去除大部分Feeder。实验中步骤3、4可以考虑省略，直接进行步骤5。</w:t>
      </w:r>
    </w:p>
    <w:p w14:paraId="2E54859B">
      <w:pPr>
        <w:widowControl w:val="0"/>
        <w:numPr>
          <w:ilvl w:val="0"/>
          <w:numId w:val="10"/>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吸去上清培养基，用小鼠胚胎干细胞Ⅱ型无血清完全培养基重悬细胞。按实验所需比例接种在预先包被了明胶的培养器皿中。</w:t>
      </w:r>
    </w:p>
    <w:p w14:paraId="645AC5D9">
      <w:pPr>
        <w:widowControl w:val="0"/>
        <w:numPr>
          <w:ilvl w:val="0"/>
          <w:numId w:val="10"/>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加入足量小鼠胚胎干细胞Ⅱ型无血清完全培养基，放入37℃、5%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培养箱培养。</w:t>
      </w:r>
    </w:p>
    <w:p w14:paraId="0E860B91">
      <w:pPr>
        <w:widowControl w:val="0"/>
        <w:numPr>
          <w:ilvl w:val="0"/>
          <w:numId w:val="10"/>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次日观察首次在小鼠胚胎干细胞Ⅱ型无血清完全培养基培养的小鼠胚胎干细胞，更换新鲜的小鼠胚胎干细胞Ⅱ型无血清完全培养基，以去除上一代残留的Feeder细胞以及因不适应无血清条件而死亡的ES细胞。</w:t>
      </w:r>
    </w:p>
    <w:p w14:paraId="600F425F">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p>
    <w:p w14:paraId="1DC6CDEC">
      <w:pPr>
        <w:widowControl w:val="0"/>
        <w:numPr>
          <w:ilvl w:val="0"/>
          <w:numId w:val="0"/>
        </w:numPr>
        <w:tabs>
          <w:tab w:val="left" w:pos="2496"/>
        </w:tabs>
        <w:spacing w:line="360" w:lineRule="auto"/>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无血清培养体系下小鼠ES的传代</w:t>
      </w:r>
    </w:p>
    <w:p w14:paraId="7241E711">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73D5D08">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 SiDoTek™ 0.25% Trypsin-0.04% EDTA（货号：SD-TEDTA-10001，以下简称胰酶）</w:t>
      </w:r>
    </w:p>
    <w:p w14:paraId="65875E13">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 SiDoTek™ Phosphate-Buffered Saline (1×PBS)（货号：SD-PBS-10001，以下简称PBS）</w:t>
      </w:r>
    </w:p>
    <w:p w14:paraId="5EE6CDC4">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3. SiDoTek™ 小鼠的胚胎干细胞完全培养基（有血清有饲养层，货号请见相关产品）</w:t>
      </w:r>
    </w:p>
    <w:p w14:paraId="2F1CD8E6">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4. SiDoTek™ 小鼠胚胎干细胞无血清完全培养基（II型）（无血清无饲养层，货号：SD-MUXES-90061）</w:t>
      </w:r>
    </w:p>
    <w:p w14:paraId="3A038FEB">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574BF14">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 将小鼠胚胎干细胞Ⅱ型无血清完全培养基、1×PBS、胰酶，温热至37℃。</w:t>
      </w:r>
    </w:p>
    <w:p w14:paraId="20ABAEAA">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 吸去小鼠胚胎干细胞培养器皿中旧的培养基。</w:t>
      </w:r>
    </w:p>
    <w:p w14:paraId="4C3C0FD3">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3. 1×PBS洗涤2~3次，以去除残留培养基。</w:t>
      </w:r>
    </w:p>
    <w:p w14:paraId="4FB78747">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4. 加入胰酶（直径35 mm培养皿加入约1 mL，直径100 mm培养皿加入约2~3 mL）。轻轻旋转，使胰酶覆盖细胞表面，消化直至小鼠胚胎干细胞分离。</w:t>
      </w:r>
    </w:p>
    <w:p w14:paraId="4759688D">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注意：由于不同实验室所使用的胰酶效价不同，消化时间可能略有不同，具体时间应以显微镜下观察到的情况为准。</w:t>
      </w:r>
    </w:p>
    <w:p w14:paraId="5A370DAC">
      <w:pPr>
        <w:widowControl w:val="0"/>
        <w:numPr>
          <w:ilvl w:val="0"/>
          <w:numId w:val="8"/>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加入2 mL或更多的小鼠胚胎干细胞完全培养基（含血清），用移液枪吸取液体，反复吹打瓶皿底壁，使已经消化的细胞脱离瓶皿底壁。</w:t>
      </w:r>
    </w:p>
    <w:p w14:paraId="06828F2C">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bCs/>
          <w:sz w:val="21"/>
          <w:szCs w:val="21"/>
          <w:lang w:val="en-US" w:eastAsia="zh-CN"/>
        </w:rPr>
        <w:t>注意： 吹打时动作需轻柔，不要产生气泡。小鼠胚胎干细胞传代不必消化成单细胞悬液，消化成2~3个细胞团即可。</w:t>
      </w:r>
    </w:p>
    <w:p w14:paraId="6839E01B">
      <w:pPr>
        <w:widowControl w:val="0"/>
        <w:numPr>
          <w:ilvl w:val="0"/>
          <w:numId w:val="8"/>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将上一步骤所得细胞悬液250×g离心5 min，吸去上清液。</w:t>
      </w:r>
    </w:p>
    <w:p w14:paraId="533D3CA4">
      <w:pPr>
        <w:widowControl w:val="0"/>
        <w:numPr>
          <w:ilvl w:val="0"/>
          <w:numId w:val="8"/>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用2~3 mL小鼠胚胎干细胞Ⅱ型无血清完全培养基重悬细胞。</w:t>
      </w:r>
    </w:p>
    <w:p w14:paraId="013932CB">
      <w:pPr>
        <w:widowControl w:val="0"/>
        <w:numPr>
          <w:ilvl w:val="0"/>
          <w:numId w:val="8"/>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按照(1~2)×10</w:t>
      </w:r>
      <w:r>
        <w:rPr>
          <w:rFonts w:hint="default" w:ascii="Times New Roman" w:hAnsi="Times New Roman" w:cs="Times New Roman" w:eastAsiaTheme="minorEastAsia"/>
          <w:b w:val="0"/>
          <w:bCs w:val="0"/>
          <w:sz w:val="21"/>
          <w:szCs w:val="21"/>
          <w:vertAlign w:val="superscript"/>
          <w:lang w:val="en-US" w:eastAsia="zh-CN"/>
        </w:rPr>
        <w:t>4</w:t>
      </w:r>
      <w:r>
        <w:rPr>
          <w:rFonts w:hint="default" w:ascii="Times New Roman" w:hAnsi="Times New Roman" w:cs="Times New Roman" w:eastAsiaTheme="minorEastAsia"/>
          <w:b w:val="0"/>
          <w:bCs w:val="0"/>
          <w:sz w:val="21"/>
          <w:szCs w:val="21"/>
          <w:lang w:val="en-US" w:eastAsia="zh-CN"/>
        </w:rPr>
        <w:t>个活细胞/cm</w:t>
      </w:r>
      <w:r>
        <w:rPr>
          <w:rFonts w:hint="default" w:ascii="Times New Roman" w:hAnsi="Times New Roman" w:cs="Times New Roman" w:eastAsiaTheme="minorEastAsia"/>
          <w:b w:val="0"/>
          <w:bCs w:val="0"/>
          <w:sz w:val="21"/>
          <w:szCs w:val="21"/>
          <w:vertAlign w:val="superscript"/>
          <w:lang w:val="en-US" w:eastAsia="zh-CN"/>
        </w:rPr>
        <w:t>2</w:t>
      </w:r>
      <w:r>
        <w:rPr>
          <w:rFonts w:hint="default" w:ascii="Times New Roman" w:hAnsi="Times New Roman" w:cs="Times New Roman" w:eastAsiaTheme="minorEastAsia"/>
          <w:b w:val="0"/>
          <w:bCs w:val="0"/>
          <w:sz w:val="21"/>
          <w:szCs w:val="21"/>
          <w:lang w:val="en-US" w:eastAsia="zh-CN"/>
        </w:rPr>
        <w:t>接种到接种在预先包被了明胶的培养器皿中。</w:t>
      </w:r>
    </w:p>
    <w:p w14:paraId="0056F6F2">
      <w:pPr>
        <w:widowControl w:val="0"/>
        <w:numPr>
          <w:ilvl w:val="0"/>
          <w:numId w:val="8"/>
        </w:numPr>
        <w:tabs>
          <w:tab w:val="left" w:pos="2496"/>
        </w:tabs>
        <w:spacing w:line="360" w:lineRule="auto"/>
        <w:ind w:left="0" w:leftChars="0" w:firstLine="0" w:firstLineChars="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加入足够的小鼠胚胎干细胞Ⅱ型无血清完全培养基，置于37℃、5%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培养箱中培养。</w:t>
      </w:r>
    </w:p>
    <w:p w14:paraId="14FAD4DC">
      <w:pPr>
        <w:widowControl w:val="0"/>
        <w:numPr>
          <w:ilvl w:val="0"/>
          <w:numId w:val="0"/>
        </w:numPr>
        <w:tabs>
          <w:tab w:val="left" w:pos="2496"/>
        </w:tabs>
        <w:spacing w:line="360" w:lineRule="auto"/>
        <w:jc w:val="both"/>
        <w:rPr>
          <w:rFonts w:hint="default" w:ascii="Times New Roman" w:hAnsi="Times New Roman" w:cs="Times New Roman" w:eastAsiaTheme="minorEastAsia"/>
          <w:b w:val="0"/>
          <w:bCs w:val="0"/>
          <w:sz w:val="21"/>
          <w:szCs w:val="21"/>
          <w:lang w:val="en-US" w:eastAsia="zh-CN"/>
        </w:rPr>
      </w:pPr>
    </w:p>
    <w:p w14:paraId="391FF8D8">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1E4C1F44">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5995CC1A">
      <w:pPr>
        <w:numPr>
          <w:ilvl w:val="0"/>
          <w:numId w:val="0"/>
        </w:numPr>
        <w:tabs>
          <w:tab w:val="left" w:pos="2496"/>
        </w:tabs>
        <w:spacing w:line="360" w:lineRule="auto"/>
        <w:rPr>
          <w:rFonts w:hint="default" w:ascii="Times New Roman" w:hAnsi="Times New Roman" w:cs="Times New Roman" w:eastAsiaTheme="minorEastAsia"/>
          <w:b w:val="0"/>
          <w:bCs w:val="0"/>
          <w:sz w:val="21"/>
          <w:szCs w:val="21"/>
          <w:lang w:val="en-US" w:eastAsia="zh-CN"/>
        </w:rPr>
      </w:pPr>
    </w:p>
    <w:p w14:paraId="76AEF179">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34A4B502">
      <w:pPr>
        <w:numPr>
          <w:ilvl w:val="0"/>
          <w:numId w:val="0"/>
        </w:numPr>
        <w:tabs>
          <w:tab w:val="left" w:pos="2496"/>
        </w:tabs>
        <w:spacing w:line="360" w:lineRule="auto"/>
        <w:ind w:leftChars="0"/>
        <w:rPr>
          <w:rFonts w:hint="default" w:ascii="Times New Roman" w:hAnsi="Times New Roman" w:cs="Times New Roman" w:eastAsiaTheme="minorEastAsia"/>
          <w:b w:val="0"/>
          <w:bCs w:val="0"/>
          <w:sz w:val="21"/>
          <w:szCs w:val="21"/>
          <w:lang w:val="en-US" w:eastAsia="zh-CN"/>
        </w:rPr>
      </w:pPr>
    </w:p>
    <w:p w14:paraId="62A62CF7">
      <w:pPr>
        <w:tabs>
          <w:tab w:val="left" w:pos="2496"/>
        </w:tabs>
        <w:spacing w:line="360" w:lineRule="auto"/>
        <w:rPr>
          <w:rFonts w:hint="default" w:ascii="Times New Roman" w:hAnsi="Times New Roman" w:cs="Times New Roman" w:eastAsiaTheme="minorEastAsia"/>
          <w:b/>
          <w:bCs/>
          <w:sz w:val="21"/>
          <w:szCs w:val="21"/>
          <w:lang w:val="en-US" w:eastAsia="zh-CN"/>
        </w:rPr>
      </w:pPr>
    </w:p>
    <w:p w14:paraId="6BB1F1A9">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14BE">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03C7">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3DC44"/>
    <w:multiLevelType w:val="singleLevel"/>
    <w:tmpl w:val="8C03DC44"/>
    <w:lvl w:ilvl="0" w:tentative="0">
      <w:start w:val="2"/>
      <w:numFmt w:val="chineseCounting"/>
      <w:suff w:val="nothing"/>
      <w:lvlText w:val="%1．"/>
      <w:lvlJc w:val="left"/>
      <w:rPr>
        <w:rFonts w:hint="eastAsia"/>
      </w:rPr>
    </w:lvl>
  </w:abstractNum>
  <w:abstractNum w:abstractNumId="1">
    <w:nsid w:val="BF614029"/>
    <w:multiLevelType w:val="singleLevel"/>
    <w:tmpl w:val="BF614029"/>
    <w:lvl w:ilvl="0" w:tentative="0">
      <w:start w:val="1"/>
      <w:numFmt w:val="decimal"/>
      <w:suff w:val="space"/>
      <w:lvlText w:val="%1."/>
      <w:lvlJc w:val="left"/>
    </w:lvl>
  </w:abstractNum>
  <w:abstractNum w:abstractNumId="2">
    <w:nsid w:val="D1581AC0"/>
    <w:multiLevelType w:val="singleLevel"/>
    <w:tmpl w:val="D1581AC0"/>
    <w:lvl w:ilvl="0" w:tentative="0">
      <w:start w:val="1"/>
      <w:numFmt w:val="decimal"/>
      <w:suff w:val="space"/>
      <w:lvlText w:val="%1."/>
      <w:lvlJc w:val="left"/>
    </w:lvl>
  </w:abstractNum>
  <w:abstractNum w:abstractNumId="3">
    <w:nsid w:val="E4D5BC98"/>
    <w:multiLevelType w:val="singleLevel"/>
    <w:tmpl w:val="E4D5BC98"/>
    <w:lvl w:ilvl="0" w:tentative="0">
      <w:start w:val="1"/>
      <w:numFmt w:val="decimal"/>
      <w:suff w:val="space"/>
      <w:lvlText w:val="%1."/>
      <w:lvlJc w:val="left"/>
    </w:lvl>
  </w:abstractNum>
  <w:abstractNum w:abstractNumId="4">
    <w:nsid w:val="E532F606"/>
    <w:multiLevelType w:val="singleLevel"/>
    <w:tmpl w:val="E532F606"/>
    <w:lvl w:ilvl="0" w:tentative="0">
      <w:start w:val="1"/>
      <w:numFmt w:val="decimal"/>
      <w:suff w:val="space"/>
      <w:lvlText w:val="%1."/>
      <w:lvlJc w:val="left"/>
    </w:lvl>
  </w:abstractNum>
  <w:abstractNum w:abstractNumId="5">
    <w:nsid w:val="F316EB64"/>
    <w:multiLevelType w:val="singleLevel"/>
    <w:tmpl w:val="F316EB64"/>
    <w:lvl w:ilvl="0" w:tentative="0">
      <w:start w:val="1"/>
      <w:numFmt w:val="decimal"/>
      <w:suff w:val="space"/>
      <w:lvlText w:val="%1."/>
      <w:lvlJc w:val="left"/>
    </w:lvl>
  </w:abstractNum>
  <w:abstractNum w:abstractNumId="6">
    <w:nsid w:val="0B391068"/>
    <w:multiLevelType w:val="singleLevel"/>
    <w:tmpl w:val="0B391068"/>
    <w:lvl w:ilvl="0" w:tentative="0">
      <w:start w:val="1"/>
      <w:numFmt w:val="decimal"/>
      <w:suff w:val="space"/>
      <w:lvlText w:val="%1."/>
      <w:lvlJc w:val="left"/>
    </w:lvl>
  </w:abstractNum>
  <w:abstractNum w:abstractNumId="7">
    <w:nsid w:val="20E5A478"/>
    <w:multiLevelType w:val="singleLevel"/>
    <w:tmpl w:val="20E5A478"/>
    <w:lvl w:ilvl="0" w:tentative="0">
      <w:start w:val="1"/>
      <w:numFmt w:val="decimal"/>
      <w:suff w:val="space"/>
      <w:lvlText w:val="%1."/>
      <w:lvlJc w:val="left"/>
    </w:lvl>
  </w:abstractNum>
  <w:abstractNum w:abstractNumId="8">
    <w:nsid w:val="517BD848"/>
    <w:multiLevelType w:val="singleLevel"/>
    <w:tmpl w:val="517BD848"/>
    <w:lvl w:ilvl="0" w:tentative="0">
      <w:start w:val="2"/>
      <w:numFmt w:val="chineseCounting"/>
      <w:suff w:val="nothing"/>
      <w:lvlText w:val="%1、"/>
      <w:lvlJc w:val="left"/>
      <w:rPr>
        <w:rFonts w:hint="eastAsia"/>
      </w:rPr>
    </w:lvl>
  </w:abstractNum>
  <w:abstractNum w:abstractNumId="9">
    <w:nsid w:val="548E3424"/>
    <w:multiLevelType w:val="singleLevel"/>
    <w:tmpl w:val="548E3424"/>
    <w:lvl w:ilvl="0" w:tentative="0">
      <w:start w:val="2"/>
      <w:numFmt w:val="chineseCounting"/>
      <w:suff w:val="nothing"/>
      <w:lvlText w:val="%1、"/>
      <w:lvlJc w:val="left"/>
      <w:rPr>
        <w:rFonts w:hint="eastAsia"/>
      </w:rPr>
    </w:lvl>
  </w:abstractNum>
  <w:num w:numId="1">
    <w:abstractNumId w:val="1"/>
  </w:num>
  <w:num w:numId="2">
    <w:abstractNumId w:val="5"/>
  </w:num>
  <w:num w:numId="3">
    <w:abstractNumId w:val="4"/>
  </w:num>
  <w:num w:numId="4">
    <w:abstractNumId w:val="6"/>
  </w:num>
  <w:num w:numId="5">
    <w:abstractNumId w:val="0"/>
  </w:num>
  <w:num w:numId="6">
    <w:abstractNumId w:val="3"/>
  </w:num>
  <w:num w:numId="7">
    <w:abstractNumId w:val="9"/>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019955AC"/>
    <w:rsid w:val="141E72D3"/>
    <w:rsid w:val="2637568C"/>
    <w:rsid w:val="2A886554"/>
    <w:rsid w:val="2E277C09"/>
    <w:rsid w:val="2F305B4B"/>
    <w:rsid w:val="364E737F"/>
    <w:rsid w:val="37FE3AA3"/>
    <w:rsid w:val="3F336B8C"/>
    <w:rsid w:val="5DE439B0"/>
    <w:rsid w:val="6A8B3FD6"/>
    <w:rsid w:val="6AFF04A8"/>
    <w:rsid w:val="6D0B1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2386</Words>
  <Characters>3111</Characters>
  <Lines>0</Lines>
  <Paragraphs>0</Paragraphs>
  <TotalTime>0</TotalTime>
  <ScaleCrop>false</ScaleCrop>
  <LinksUpToDate>false</LinksUpToDate>
  <CharactersWithSpaces>3200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2024-12-13T03:20:43Z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