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default" w:ascii="Times New Roman" w:hAnsi="Times New Roman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eastAsia="zh-CN"/>
        </w:rPr>
        <w:t>SiDoTek™</w:t>
      </w: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2×Blue Universal SYBR qPCR Master Mix</w:t>
      </w:r>
    </w:p>
    <w:p>
      <w:pPr>
        <w:spacing w:line="240" w:lineRule="auto"/>
        <w:jc w:val="left"/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  <w:t>2×蓝色通用SYBR Green qPCR 预混液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</w:pP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目录号：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DMR3-2a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储存条件：-30 ~ -15℃避光保存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年，≤0℃避光运输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0"/>
          <w:szCs w:val="20"/>
          <w:lang w:eastAsia="zh-CN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122A88"/>
          <w:sz w:val="24"/>
          <w:szCs w:val="24"/>
        </w:rPr>
      </w:pPr>
      <w:bookmarkStart w:id="0" w:name="OLE_LINK1"/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</w:rPr>
        <w:t>产品内容：</w:t>
      </w:r>
    </w:p>
    <w:bookmarkEnd w:id="0"/>
    <w:tbl>
      <w:tblPr>
        <w:tblStyle w:val="5"/>
        <w:tblW w:w="4822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8"/>
        <w:gridCol w:w="2387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0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2" w:colFirst="1" w:colLast="2"/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组分</w:t>
            </w:r>
          </w:p>
        </w:tc>
        <w:tc>
          <w:tcPr>
            <w:tcW w:w="145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DMR3-1a</w:t>
            </w:r>
          </w:p>
        </w:tc>
        <w:tc>
          <w:tcPr>
            <w:tcW w:w="14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DMR3-2a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207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2× Blue Universal SYBR qPCR Master Mix</w:t>
            </w:r>
          </w:p>
        </w:tc>
        <w:tc>
          <w:tcPr>
            <w:tcW w:w="1452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 mL</w:t>
            </w:r>
          </w:p>
        </w:tc>
        <w:tc>
          <w:tcPr>
            <w:tcW w:w="146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5×1 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207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DNase-free Water</w:t>
            </w:r>
          </w:p>
        </w:tc>
        <w:tc>
          <w:tcPr>
            <w:tcW w:w="1452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 mL</w:t>
            </w: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5×1 mL</w:t>
            </w:r>
          </w:p>
        </w:tc>
      </w:tr>
    </w:tbl>
    <w:p>
      <w:pPr>
        <w:widowControl/>
        <w:spacing w:line="240" w:lineRule="auto"/>
        <w:rPr>
          <w:rFonts w:hint="default" w:ascii="Times New Roman" w:hAnsi="Times New Roman" w:cs="Times New Roman"/>
          <w:color w:val="231F20"/>
          <w:sz w:val="18"/>
          <w:szCs w:val="18"/>
          <w:lang w:bidi="ar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122A88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</w:rPr>
        <w:t>产品简介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</w:rPr>
        <w:t>2× Blue Universal SYBR qPCR Master Mix是使用SYBR Green I 嵌合荧光法进行qPCR的2×试剂，颜色为蓝色，具有加样示踪的作用。</w:t>
      </w:r>
      <w:r>
        <w:rPr>
          <w:rFonts w:hint="default" w:ascii="Times New Roman" w:hAnsi="Times New Roman" w:cs="Times New Roman"/>
          <w:sz w:val="18"/>
          <w:szCs w:val="18"/>
          <w:lang w:eastAsia="zh-CN"/>
        </w:rPr>
        <w:t>其核心组分Taq DNA Polymerase是基于抗体法封闭的热启动DNA聚合酶，可以有效抑制低温条件下的非特异性扩增，同时配以针对qPCR优化的反应Buffer体系，非常适合用于高特异性、高灵敏度的qPCR检测反应，可以在较宽的定量区域内得到良好的标准曲线，从而实现对靶基因的实时检测定量准确、重复性好、可信度高。本品主要成分包括化学修饰的Hot Start Fast Taq DNA Polymerase、</w:t>
      </w:r>
      <w:bookmarkStart w:id="2" w:name="OLE_LINK3"/>
      <w:r>
        <w:rPr>
          <w:rFonts w:hint="default" w:ascii="Times New Roman" w:hAnsi="Times New Roman" w:cs="Times New Roman"/>
          <w:sz w:val="18"/>
          <w:szCs w:val="18"/>
          <w:lang w:eastAsia="zh-CN"/>
        </w:rPr>
        <w:t>dNTP、</w:t>
      </w:r>
      <w:bookmarkEnd w:id="2"/>
      <w:r>
        <w:rPr>
          <w:rFonts w:hint="default" w:ascii="Times New Roman" w:hAnsi="Times New Roman" w:cs="Times New Roman"/>
          <w:sz w:val="18"/>
          <w:szCs w:val="18"/>
          <w:lang w:eastAsia="zh-CN"/>
        </w:rPr>
        <w:t>Mg</w:t>
      </w:r>
      <w:r>
        <w:rPr>
          <w:rFonts w:hint="default" w:ascii="Times New Roman" w:hAnsi="Times New Roman" w:cs="Times New Roman"/>
          <w:b/>
          <w:sz w:val="18"/>
          <w:szCs w:val="18"/>
          <w:vertAlign w:val="superscript"/>
          <w:lang w:eastAsia="zh-CN"/>
        </w:rPr>
        <w:t>2+</w:t>
      </w:r>
      <w:r>
        <w:rPr>
          <w:rFonts w:hint="default" w:ascii="Times New Roman" w:hAnsi="Times New Roman" w:cs="Times New Roman"/>
          <w:sz w:val="18"/>
          <w:szCs w:val="18"/>
          <w:lang w:eastAsia="zh-CN"/>
        </w:rPr>
        <w:t>、SYBR Green I和针对qPCR优化的最适Buffer。另外，预混液体系中添加了特殊ROX Reference Dye，适用于不同品牌的qPCR 仪器。本产品使用便捷省时，配制反应体系时只需加入引物和模板即可扩增。</w:t>
      </w:r>
    </w:p>
    <w:p>
      <w:pPr>
        <w:spacing w:line="240" w:lineRule="auto"/>
        <w:rPr>
          <w:rFonts w:hint="default" w:ascii="Times New Roman" w:hAnsi="Times New Roman" w:cs="Times New Roman"/>
          <w:color w:val="000000" w:themeColor="text1"/>
          <w:sz w:val="15"/>
          <w:szCs w:val="15"/>
          <w:lang w:eastAsia="zh-CN"/>
          <w14:textFill>
            <w14:solidFill>
              <w14:schemeClr w14:val="tx1"/>
            </w14:solidFill>
          </w14:textFill>
        </w:rPr>
      </w:pPr>
      <w:bookmarkStart w:id="3" w:name="_GoBack"/>
      <w:bookmarkEnd w:id="3"/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  <w:t>注意事项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1. 为了您的安全和健康，请穿实验服并戴一次性手套操作。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2. 请于使用前确保产品完全解冻，彻底混匀后短暂离心，置于冰上备用，建议全程冰上操作。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3. 反复冻融会影响产品性能，解冻后尽量在一个月内使用完毕。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4. 本产品中含荧光染料SYBR Green I，使用中需注意避光操作。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5.</w:t>
      </w:r>
      <w:r>
        <w:rPr>
          <w:rFonts w:hint="default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  <w:lang w:eastAsia="zh-CN"/>
        </w:rPr>
        <w:t>试剂使用前请上下轻轻颠倒混匀，请勿涡旋振荡混匀，避免产生气泡。</w:t>
      </w:r>
    </w:p>
    <w:p>
      <w:pPr>
        <w:widowControl/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6.</w:t>
      </w:r>
      <w:r>
        <w:rPr>
          <w:rFonts w:hint="default" w:ascii="Times New Roman" w:hAnsi="Times New Roman" w:eastAsia="宋体" w:cs="Times New Roman"/>
          <w:color w:val="auto"/>
          <w:sz w:val="18"/>
          <w:szCs w:val="18"/>
          <w:lang w:eastAsia="zh-CN"/>
        </w:rPr>
        <w:t xml:space="preserve"> 反应液的配制、分装请使用新的一次性枪头，尽量避免样品间的交叉污染。</w:t>
      </w:r>
    </w:p>
    <w:p>
      <w:pPr>
        <w:spacing w:line="240" w:lineRule="auto"/>
        <w:rPr>
          <w:rFonts w:hint="default" w:ascii="Times New Roman" w:hAnsi="Times New Roman" w:cs="Times New Roman"/>
          <w:b w:val="0"/>
          <w:bCs w:val="0"/>
          <w:sz w:val="18"/>
          <w:szCs w:val="18"/>
          <w:lang w:eastAsia="zh-CN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  <w:t>实验流程</w:t>
      </w:r>
    </w:p>
    <w:p>
      <w:pPr>
        <w:spacing w:after="24" w:afterLines="10" w:line="240" w:lineRule="auto"/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  <w:t>推荐体系：</w:t>
      </w:r>
    </w:p>
    <w:p>
      <w:pPr>
        <w:spacing w:line="240" w:lineRule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1. 按照下表配置PCR反应体系（注：配置多个反应孔时，请为各组分预留10%的余量，以免移液损失。</w:t>
      </w:r>
      <w:r>
        <w:rPr>
          <w:rFonts w:hint="default" w:ascii="Times New Roman" w:hAnsi="Times New Roman" w:cs="Times New Roman"/>
          <w:sz w:val="18"/>
          <w:szCs w:val="18"/>
        </w:rPr>
        <w:t>）</w:t>
      </w:r>
    </w:p>
    <w:tbl>
      <w:tblPr>
        <w:tblStyle w:val="5"/>
        <w:tblW w:w="494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8"/>
        <w:gridCol w:w="2308"/>
        <w:gridCol w:w="22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29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试剂组份</w:t>
            </w:r>
          </w:p>
        </w:tc>
        <w:tc>
          <w:tcPr>
            <w:tcW w:w="137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20μL体系</w:t>
            </w:r>
          </w:p>
        </w:tc>
        <w:tc>
          <w:tcPr>
            <w:tcW w:w="134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50μL体系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29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2× Blue Universal SYBR qPCR Master Mix</w:t>
            </w:r>
          </w:p>
        </w:tc>
        <w:tc>
          <w:tcPr>
            <w:tcW w:w="137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10 μL</w:t>
            </w:r>
          </w:p>
        </w:tc>
        <w:tc>
          <w:tcPr>
            <w:tcW w:w="1340" w:type="pct"/>
            <w:tcBorders>
              <w:top w:val="single" w:color="auto" w:sz="4" w:space="0"/>
            </w:tcBorders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25 μL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29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Forward Primer (10μM)</w:t>
            </w:r>
          </w:p>
        </w:tc>
        <w:tc>
          <w:tcPr>
            <w:tcW w:w="137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0.4 μL</w:t>
            </w:r>
            <w:r>
              <w:rPr>
                <w:rFonts w:hint="default" w:ascii="Times New Roman" w:hAnsi="Times New Roman" w:cs="Times New Roman"/>
                <w:color w:val="00B050"/>
                <w:sz w:val="18"/>
                <w:szCs w:val="18"/>
              </w:rPr>
              <w:t>*</w:t>
            </w:r>
          </w:p>
        </w:tc>
        <w:tc>
          <w:tcPr>
            <w:tcW w:w="1340" w:type="pct"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 μL</w:t>
            </w:r>
            <w:r>
              <w:rPr>
                <w:rFonts w:hint="default" w:ascii="Times New Roman" w:hAnsi="Times New Roman" w:cs="Times New Roman"/>
                <w:color w:val="00B050"/>
                <w:sz w:val="18"/>
                <w:szCs w:val="18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29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Reverse Primer (10μM)</w:t>
            </w:r>
          </w:p>
        </w:tc>
        <w:tc>
          <w:tcPr>
            <w:tcW w:w="137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0.4 μL</w:t>
            </w:r>
            <w:r>
              <w:rPr>
                <w:rFonts w:hint="default" w:ascii="Times New Roman" w:hAnsi="Times New Roman" w:cs="Times New Roman"/>
                <w:color w:val="00B050"/>
                <w:sz w:val="18"/>
                <w:szCs w:val="18"/>
              </w:rPr>
              <w:t>*</w:t>
            </w:r>
          </w:p>
        </w:tc>
        <w:tc>
          <w:tcPr>
            <w:tcW w:w="1340" w:type="pct"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 μL</w:t>
            </w:r>
            <w:r>
              <w:rPr>
                <w:rFonts w:hint="default" w:ascii="Times New Roman" w:hAnsi="Times New Roman" w:cs="Times New Roman"/>
                <w:color w:val="00B050"/>
                <w:sz w:val="18"/>
                <w:szCs w:val="18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29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模板DNA/cDNA</w:t>
            </w:r>
          </w:p>
        </w:tc>
        <w:tc>
          <w:tcPr>
            <w:tcW w:w="137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X μL</w:t>
            </w:r>
            <w:r>
              <w:rPr>
                <w:rFonts w:hint="default" w:ascii="Times New Roman" w:hAnsi="Times New Roman" w:cs="Times New Roman"/>
                <w:color w:val="00B050"/>
                <w:sz w:val="18"/>
                <w:szCs w:val="18"/>
              </w:rPr>
              <w:t>*</w:t>
            </w:r>
          </w:p>
        </w:tc>
        <w:tc>
          <w:tcPr>
            <w:tcW w:w="1340" w:type="pct"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X μL</w:t>
            </w:r>
            <w:r>
              <w:rPr>
                <w:rFonts w:hint="default" w:ascii="Times New Roman" w:hAnsi="Times New Roman" w:cs="Times New Roman"/>
                <w:color w:val="00B050"/>
                <w:sz w:val="18"/>
                <w:szCs w:val="18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290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DNase-free Water</w:t>
            </w:r>
          </w:p>
        </w:tc>
        <w:tc>
          <w:tcPr>
            <w:tcW w:w="1370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Up to 20 μL</w:t>
            </w:r>
          </w:p>
        </w:tc>
        <w:tc>
          <w:tcPr>
            <w:tcW w:w="1340" w:type="pct"/>
            <w:tcBorders>
              <w:bottom w:val="single" w:color="auto" w:sz="4" w:space="0"/>
            </w:tcBorders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Up to 50 μL</w:t>
            </w:r>
          </w:p>
        </w:tc>
      </w:tr>
    </w:tbl>
    <w:p>
      <w:pPr>
        <w:spacing w:line="240" w:lineRule="auto"/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  <w:t xml:space="preserve">*通常每条引物终浓度为0.2 </w:t>
      </w: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</w:rPr>
        <w:t>μ</w:t>
      </w: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  <w:t>M，也可根据情况在0.1~0.4</w:t>
      </w: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</w:rPr>
        <w:t>μ</w:t>
      </w: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  <w:t xml:space="preserve">M 间进行调整。 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  <w:t>*微量体积加样时误差大，建议批量配制反应体系后分装至八联排管中，再将cDNA模板稀释后加入对应的反应体系中，这样可以有效提高实验的重复性；如模板类型为未稀释cDNA原液，使用体积不应超过qPCR反应总体积的 1/10。</w:t>
      </w:r>
    </w:p>
    <w:p>
      <w:pPr>
        <w:spacing w:line="240" w:lineRule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2. 反应体系配好加入模板后，盖好八联排管盖，充分涡旋混匀，离心，避免产生气泡。全程操作需佩戴手套，尽量避免手指按压管盖中心位置。</w:t>
      </w:r>
    </w:p>
    <w:p>
      <w:pPr>
        <w:spacing w:after="24" w:afterLines="10" w:line="240" w:lineRule="auto"/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</w:pPr>
    </w:p>
    <w:p>
      <w:pPr>
        <w:spacing w:after="24" w:afterLines="10" w:line="240" w:lineRule="auto"/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  <w:t>两步法反应程序设置参考如下：</w:t>
      </w:r>
    </w:p>
    <w:p>
      <w:pPr>
        <w:spacing w:after="24" w:afterLines="10" w:line="240" w:lineRule="auto"/>
        <w:rPr>
          <w:rFonts w:hint="default" w:ascii="Times New Roman" w:hAnsi="Times New Roman" w:cs="Times New Roman"/>
          <w:b/>
          <w:bCs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</w:rPr>
        <w:t>标准程序</w:t>
      </w:r>
    </w:p>
    <w:tbl>
      <w:tblPr>
        <w:tblStyle w:val="5"/>
        <w:tblW w:w="6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293"/>
        <w:gridCol w:w="900"/>
        <w:gridCol w:w="1057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Stage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步骤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温度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循环数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Stage 1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预变性/酶激活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95 ℃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Stage 2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变性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95 ℃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15 sec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退火/延伸/采集信号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60 ℃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40 sec</w:t>
            </w:r>
            <w:r>
              <w:rPr>
                <w:rFonts w:hint="default" w:ascii="Times New Roman" w:hAnsi="Times New Roman" w:cs="Times New Roman"/>
                <w:color w:val="00B050"/>
                <w:sz w:val="18"/>
                <w:szCs w:val="18"/>
              </w:rPr>
              <w:t>*</w:t>
            </w:r>
          </w:p>
        </w:tc>
        <w:tc>
          <w:tcPr>
            <w:tcW w:w="901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953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Stage 3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熔解曲线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仪器默认设置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</w:tbl>
    <w:p>
      <w:pPr>
        <w:spacing w:after="24" w:afterLines="10" w:line="240" w:lineRule="auto"/>
        <w:rPr>
          <w:rFonts w:hint="default" w:ascii="Times New Roman" w:hAnsi="Times New Roman" w:cs="Times New Roman"/>
          <w:b/>
          <w:bCs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</w:rPr>
        <w:t>快速程序</w:t>
      </w:r>
    </w:p>
    <w:tbl>
      <w:tblPr>
        <w:tblStyle w:val="5"/>
        <w:tblW w:w="6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293"/>
        <w:gridCol w:w="900"/>
        <w:gridCol w:w="1057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Stage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步骤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温度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循环数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Stage 1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预变性/酶激活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95 ℃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Stage 2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变性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95 ℃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2 sec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退火/延伸/采集信号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60 ℃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20 sec</w:t>
            </w:r>
            <w:r>
              <w:rPr>
                <w:rFonts w:hint="default" w:ascii="Times New Roman" w:hAnsi="Times New Roman" w:cs="Times New Roman"/>
                <w:color w:val="00B050"/>
                <w:sz w:val="18"/>
                <w:szCs w:val="18"/>
              </w:rPr>
              <w:t>*</w:t>
            </w:r>
          </w:p>
        </w:tc>
        <w:tc>
          <w:tcPr>
            <w:tcW w:w="901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953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Stage 3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熔解曲线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仪器默认设置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</w:tbl>
    <w:p>
      <w:pPr>
        <w:spacing w:line="240" w:lineRule="auto"/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  <w:t>*延伸时间请根据您使用的Realtime qPCR仪数据采集最短时间限制以及PCR产物长度自行调整。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  <w:t>*模板拷贝数较低时采用标准程序可提高数据的重现性。</w:t>
      </w:r>
    </w:p>
    <w:p>
      <w:pPr>
        <w:spacing w:after="24" w:afterLines="10" w:line="240" w:lineRule="auto"/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</w:pPr>
    </w:p>
    <w:p>
      <w:pPr>
        <w:spacing w:after="24" w:afterLines="10" w:line="240" w:lineRule="auto"/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  <w:t>三步法反应程序设置参考如下：</w:t>
      </w:r>
    </w:p>
    <w:p>
      <w:pPr>
        <w:spacing w:after="24" w:afterLines="10" w:line="240" w:lineRule="auto"/>
        <w:rPr>
          <w:rFonts w:hint="default" w:ascii="Times New Roman" w:hAnsi="Times New Roman" w:cs="Times New Roman"/>
          <w:b/>
          <w:bCs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</w:rPr>
        <w:t>标准程序</w:t>
      </w:r>
    </w:p>
    <w:tbl>
      <w:tblPr>
        <w:tblStyle w:val="5"/>
        <w:tblW w:w="6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132"/>
        <w:gridCol w:w="1061"/>
        <w:gridCol w:w="1057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Stage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步骤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温度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循环数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Stage 1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预变性/酶激活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95 ℃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Stage 2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变性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95 ℃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15 sec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退火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延伸/采集信号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55-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℃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72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℃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sec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 sec</w:t>
            </w:r>
            <w:r>
              <w:rPr>
                <w:rFonts w:hint="default" w:ascii="Times New Roman" w:hAnsi="Times New Roman" w:cs="Times New Roman"/>
                <w:color w:val="00B050"/>
                <w:sz w:val="18"/>
                <w:szCs w:val="18"/>
              </w:rPr>
              <w:t>*</w:t>
            </w:r>
          </w:p>
        </w:tc>
        <w:tc>
          <w:tcPr>
            <w:tcW w:w="901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953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Stage 3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熔解曲线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仪器默认设置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</w:tbl>
    <w:p>
      <w:pPr>
        <w:spacing w:after="24" w:afterLines="10" w:line="240" w:lineRule="auto"/>
        <w:rPr>
          <w:rFonts w:hint="default" w:ascii="Times New Roman" w:hAnsi="Times New Roman" w:cs="Times New Roman"/>
          <w:b/>
          <w:bCs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</w:rPr>
        <w:t>快速程序</w:t>
      </w:r>
    </w:p>
    <w:tbl>
      <w:tblPr>
        <w:tblStyle w:val="5"/>
        <w:tblW w:w="6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132"/>
        <w:gridCol w:w="1061"/>
        <w:gridCol w:w="1057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Stage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步骤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温度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循环数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Stage 1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预变性/酶激活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95 ℃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Stage 2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变性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95 ℃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sec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退火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延伸/采集信号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55-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℃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72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℃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sec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15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sec</w:t>
            </w:r>
            <w:r>
              <w:rPr>
                <w:rFonts w:hint="default" w:ascii="Times New Roman" w:hAnsi="Times New Roman" w:cs="Times New Roman"/>
                <w:color w:val="00B050"/>
                <w:sz w:val="18"/>
                <w:szCs w:val="18"/>
              </w:rPr>
              <w:t>*</w:t>
            </w:r>
          </w:p>
        </w:tc>
        <w:tc>
          <w:tcPr>
            <w:tcW w:w="901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953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Stage 3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熔解曲线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仪器默认设置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</w:tbl>
    <w:p>
      <w:pPr>
        <w:spacing w:line="240" w:lineRule="auto"/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  <w:t>*延伸时间请根据您使用的Real-time qPCR仪数据采集最短时间限制以及PCR产物长度自行调整。</w:t>
      </w:r>
    </w:p>
    <w:p>
      <w:pPr>
        <w:spacing w:after="24" w:afterLines="10" w:line="240" w:lineRule="auto"/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  <w:t>*模板拷贝数较低时采用标准程序可提高数据的重现性。</w:t>
      </w: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122A88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18"/>
          <w:szCs w:val="18"/>
          <w:lang w:eastAsia="zh-CN"/>
        </w:rPr>
        <w:t>若需提高扩增特异性，可使用两步法程序或提高退火温度；若需提高扩增效率，可使用三步法程序或延长延伸时间。</w:t>
      </w:r>
    </w:p>
    <w:p>
      <w:pPr>
        <w:rPr>
          <w:rFonts w:hint="default" w:ascii="Times New Roman" w:hAnsi="Times New Roman" w:cs="Times New Roman"/>
          <w:b/>
          <w:bCs/>
          <w:color w:val="604A7B" w:themeColor="accent4" w:themeShade="BF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color w:val="604A7B" w:themeColor="accent4" w:themeShade="BF"/>
          <w:sz w:val="24"/>
          <w:szCs w:val="24"/>
          <w:lang w:eastAsia="zh-CN"/>
        </w:rPr>
        <w:br w:type="page"/>
      </w: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  <w:t>结果分析注意事项</w:t>
      </w:r>
    </w:p>
    <w:p>
      <w:pPr>
        <w:spacing w:line="240" w:lineRule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 xml:space="preserve">定量检测至少需要三个生物学重复，反应结束后需要确认扩增曲线的线形，熔解曲线的峰形。 </w:t>
      </w:r>
    </w:p>
    <w:p>
      <w:pPr>
        <w:spacing w:line="240" w:lineRule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1. 扩增曲线：标准扩增曲线为S型。</w:t>
      </w:r>
    </w:p>
    <w:p>
      <w:pPr>
        <w:spacing w:line="240" w:lineRule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Ct值小于10，需要将模板稀释后，重新进行实验（每稀释一倍，Ct值增大1）；</w:t>
      </w:r>
    </w:p>
    <w:p>
      <w:pPr>
        <w:spacing w:line="240" w:lineRule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 xml:space="preserve">Ct值在30-35之间时，需要提高模板浓度，或者增大反应体系的体积，以提高扩增效率，确保结果分析的准确性； </w:t>
      </w:r>
    </w:p>
    <w:p>
      <w:pPr>
        <w:spacing w:line="240" w:lineRule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 xml:space="preserve">Ct值大于35时，检测结果不可信。 </w:t>
      </w:r>
    </w:p>
    <w:p>
      <w:pPr>
        <w:spacing w:line="240" w:lineRule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 xml:space="preserve">2. 熔解曲线： 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熔解曲线单峰，表明反应特异性好可以进行定量结果分析。反之，若熔解曲线出现明显双峰或者多峰，则不能进行定量分析，需要重新设计引物。</w:t>
      </w: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8064A2" w:themeColor="accent4"/>
          <w:sz w:val="24"/>
          <w:szCs w:val="24"/>
          <w:lang w:eastAsia="zh-CN"/>
          <w14:textFill>
            <w14:solidFill>
              <w14:schemeClr w14:val="accent4"/>
            </w14:solidFill>
          </w14:textFill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  <w:t>常见问题与解决方案</w:t>
      </w:r>
    </w:p>
    <w:p>
      <w:pPr>
        <w:spacing w:line="240" w:lineRule="auto"/>
        <w:rPr>
          <w:rFonts w:hint="default" w:ascii="Times New Roman" w:hAnsi="Times New Roman" w:cs="Times New Roman"/>
          <w:color w:val="122A88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color w:val="122A88"/>
          <w:sz w:val="18"/>
          <w:szCs w:val="18"/>
          <w:lang w:eastAsia="zh-CN"/>
        </w:rPr>
        <w:t>►扩增曲线形状异常</w:t>
      </w:r>
    </w:p>
    <w:p>
      <w:pPr>
        <w:spacing w:line="240" w:lineRule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①扩增曲线不光滑：使用的八联排管或PCR板可能与设备不匹配，设备光源可能松动。</w:t>
      </w:r>
    </w:p>
    <w:p>
      <w:pPr>
        <w:spacing w:line="240" w:lineRule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②扩增曲线突然骤降：反应管内留有气泡造成。样本离心后上机检测前务必仔细检查反应管内是否有气泡残留。</w:t>
      </w:r>
    </w:p>
    <w:p>
      <w:pPr>
        <w:spacing w:line="240" w:lineRule="auto"/>
        <w:rPr>
          <w:rFonts w:hint="default" w:ascii="Times New Roman" w:hAnsi="Times New Roman" w:cs="Times New Roman"/>
          <w:color w:val="122A88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color w:val="122A88"/>
          <w:sz w:val="18"/>
          <w:szCs w:val="18"/>
          <w:lang w:eastAsia="zh-CN"/>
        </w:rPr>
        <w:t>►反应结束无扩增曲线出现</w:t>
      </w:r>
    </w:p>
    <w:p>
      <w:pPr>
        <w:spacing w:line="240" w:lineRule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①循环数不够：一般设置为40个循环。</w:t>
      </w:r>
    </w:p>
    <w:p>
      <w:pPr>
        <w:spacing w:line="240" w:lineRule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②确认程序中是否设置了信号采集步骤。</w:t>
      </w:r>
    </w:p>
    <w:p>
      <w:pPr>
        <w:spacing w:line="240" w:lineRule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③确认引物、模板是否降解。</w:t>
      </w:r>
    </w:p>
    <w:p>
      <w:pPr>
        <w:spacing w:line="240" w:lineRule="auto"/>
        <w:rPr>
          <w:rFonts w:hint="default" w:ascii="Times New Roman" w:hAnsi="Times New Roman" w:cs="Times New Roman"/>
          <w:color w:val="122A88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color w:val="122A88"/>
          <w:sz w:val="18"/>
          <w:szCs w:val="18"/>
          <w:lang w:eastAsia="zh-CN"/>
        </w:rPr>
        <w:t>►阴性对照出现扩增</w:t>
      </w:r>
    </w:p>
    <w:p>
      <w:pPr>
        <w:spacing w:line="240" w:lineRule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①反应体系污染：更换新的Mix、水、引物重复实验。在超净工作台进行反应体系配置，减少气溶胶污染。</w:t>
      </w:r>
    </w:p>
    <w:p>
      <w:pPr>
        <w:spacing w:line="240" w:lineRule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②产生引物二聚体，配合溶解曲线进行分析。</w:t>
      </w:r>
    </w:p>
    <w:p>
      <w:pPr>
        <w:spacing w:line="240" w:lineRule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③使用含UDG/dUTP 防污染体系的扩增试剂。</w:t>
      </w:r>
    </w:p>
    <w:p>
      <w:pPr>
        <w:spacing w:line="240" w:lineRule="auto"/>
        <w:rPr>
          <w:rFonts w:hint="default" w:ascii="Times New Roman" w:hAnsi="Times New Roman" w:cs="Times New Roman"/>
          <w:color w:val="122A88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color w:val="122A88"/>
          <w:sz w:val="18"/>
          <w:szCs w:val="18"/>
          <w:lang w:eastAsia="zh-CN"/>
        </w:rPr>
        <w:t>►实验重复性差</w:t>
      </w:r>
    </w:p>
    <w:p>
      <w:pPr>
        <w:spacing w:line="240" w:lineRule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①加样体积失准：建议使用大体积加样以减少误差。</w:t>
      </w:r>
    </w:p>
    <w:p>
      <w:pPr>
        <w:spacing w:line="240" w:lineRule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②模板浓度太低：模板浓度越低，重复性越差，减少模板稀释倍数或增加加入的模板体积。</w:t>
      </w:r>
    </w:p>
    <w:p>
      <w:pPr>
        <w:spacing w:line="240" w:lineRule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③反应体系未充分混匀：上机检测前将反应体系充分混匀后离心再上机。</w:t>
      </w: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0F7F7D"/>
          <w:sz w:val="20"/>
          <w:szCs w:val="20"/>
          <w:lang w:eastAsia="zh-CN"/>
        </w:rPr>
      </w:pPr>
    </w:p>
    <w:p>
      <w:pPr>
        <w:spacing w:line="240" w:lineRule="auto"/>
        <w:rPr>
          <w:rFonts w:hint="default" w:ascii="Times New Roman" w:hAnsi="Times New Roman" w:cs="Times New Roman"/>
          <w:lang w:eastAsia="zh-CN"/>
        </w:rPr>
      </w:pPr>
    </w:p>
    <w:p>
      <w:pPr>
        <w:tabs>
          <w:tab w:val="left" w:pos="2496"/>
        </w:tabs>
        <w:spacing w:line="240" w:lineRule="auto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904240</wp:posOffset>
              </wp:positionH>
              <wp:positionV relativeFrom="paragraph">
                <wp:posOffset>74295</wp:posOffset>
              </wp:positionV>
              <wp:extent cx="6103620" cy="692785"/>
              <wp:effectExtent l="0" t="0" r="11430" b="12065"/>
              <wp:wrapNone/>
              <wp:docPr id="5" name="自选图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6103620" cy="692785"/>
                      </a:xfrm>
                      <a:custGeom>
                        <a:avLst/>
                        <a:gdLst>
                          <a:gd name="txL" fmla="*/ 2437 w 21600"/>
                          <a:gd name="txT" fmla="*/ 2437 h 21600"/>
                          <a:gd name="txR" fmla="*/ 19162 w 21600"/>
                          <a:gd name="txB" fmla="*/ 19162 h 21600"/>
                        </a:gdLst>
                        <a:ahLst/>
                        <a:cxnLst>
                          <a:cxn ang="0">
                            <a:pos x="20962" y="10800"/>
                          </a:cxn>
                          <a:cxn ang="90">
                            <a:pos x="10800" y="21600"/>
                          </a:cxn>
                          <a:cxn ang="180">
                            <a:pos x="637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1275" y="21600"/>
                            </a:lnTo>
                            <a:lnTo>
                              <a:pt x="20325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8CBB35">
                          <a:alpha val="59999"/>
                        </a:srgbClr>
                      </a:solidFill>
                      <a:ln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8" o:spid="_x0000_s1026" o:spt="100" style="position:absolute;left:0pt;margin-left:71.2pt;margin-top:5.85pt;height:54.55pt;width:480.6pt;rotation:11796480f;z-index:251663360;mso-width-relative:page;mso-height-relative:page;" fillcolor="#8CBB35" filled="t" stroked="f" coordsize="21600,21600" o:gfxdata="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uYn5T1QAAAAsB&#10;AAAPAAAAAAAAAAEAIAAAACIAAABkcnMvZG93bnJldi54bWxQSwECFAAUAAAACACHTuJAIC2Ch8kC&#10;AABnBgAADgAAAAAAAAABACAAAAAkAQAAZHJzL2Uyb0RvYy54bWxQSwUGAAAAAAYABgBZAQAAXwYA&#10;AAAA&#10;" path="m0,0l1275,21600,20325,21600,21600,0xe">
              <v:path o:connectlocs="20962,10800;10800,21600;637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-1059180</wp:posOffset>
          </wp:positionH>
          <wp:positionV relativeFrom="paragraph">
            <wp:posOffset>210820</wp:posOffset>
          </wp:positionV>
          <wp:extent cx="1811020" cy="721995"/>
          <wp:effectExtent l="0" t="0" r="17780" b="0"/>
          <wp:wrapNone/>
          <wp:docPr id="6" name="图片 11" descr="西岛生物 SiDoTek 横板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1" descr="西岛生物 SiDoTek 横板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102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-1138555</wp:posOffset>
              </wp:positionH>
              <wp:positionV relativeFrom="paragraph">
                <wp:posOffset>365125</wp:posOffset>
              </wp:positionV>
              <wp:extent cx="7585710" cy="414020"/>
              <wp:effectExtent l="0" t="0" r="15240" b="5080"/>
              <wp:wrapNone/>
              <wp:docPr id="1" name="矩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759460" y="5626735"/>
                        <a:ext cx="7585710" cy="414020"/>
                      </a:xfrm>
                      <a:prstGeom prst="rect">
                        <a:avLst/>
                      </a:prstGeom>
                      <a:solidFill>
                        <a:srgbClr val="45B2B4">
                          <a:alpha val="59999"/>
                        </a:srgbClr>
                      </a:solidFill>
                      <a:ln w="9525"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rect id="矩形 9" o:spid="_x0000_s1026" o:spt="1" style="position:absolute;left:0pt;margin-left:-89.65pt;margin-top:28.75pt;height:32.6pt;width:597.3pt;z-index:251659264;mso-width-relative:page;mso-height-relative:page;" fillcolor="#45B2B4" filled="t" stroked="f" coordsize="21600,21600" o:gfxdata="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Un1ZXbAAAADAEAAA8AAAAAAAAAAQAgAAAAIgAAAGRycy9kb3ducmV2LnhtbFBLAQIUABQAAAAI&#10;AIdO4kA6Zy5T6gEAALkDAAAOAAAAAAAAAAEAIAAAACoBAABkcnMvZTJvRG9jLnhtbFBLBQYAAAAA&#10;BgAGAFkBAACGBQAAAAA=&#10;">
              <v:fill on="t" opacity="39320f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-1087755</wp:posOffset>
          </wp:positionH>
          <wp:positionV relativeFrom="paragraph">
            <wp:posOffset>-607060</wp:posOffset>
          </wp:positionV>
          <wp:extent cx="1633855" cy="651510"/>
          <wp:effectExtent l="0" t="0" r="0" b="0"/>
          <wp:wrapNone/>
          <wp:docPr id="4" name="图片 5" descr="西岛生物 SiDoTek 横板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5" descr="西岛生物 SiDoTek 横板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385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925195</wp:posOffset>
              </wp:positionH>
              <wp:positionV relativeFrom="paragraph">
                <wp:posOffset>-548640</wp:posOffset>
              </wp:positionV>
              <wp:extent cx="6003290" cy="678815"/>
              <wp:effectExtent l="0" t="0" r="16510" b="6985"/>
              <wp:wrapNone/>
              <wp:docPr id="3" name="自选图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3290" cy="678815"/>
                      </a:xfrm>
                      <a:custGeom>
                        <a:avLst/>
                        <a:gdLst>
                          <a:gd name="txL" fmla="*/ 2369 w 21600"/>
                          <a:gd name="txT" fmla="*/ 2369 h 21600"/>
                          <a:gd name="txR" fmla="*/ 19230 w 21600"/>
                          <a:gd name="txB" fmla="*/ 19230 h 21600"/>
                        </a:gdLst>
                        <a:ahLst/>
                        <a:cxnLst>
                          <a:cxn ang="0">
                            <a:pos x="21030" y="10800"/>
                          </a:cxn>
                          <a:cxn ang="90">
                            <a:pos x="10800" y="21600"/>
                          </a:cxn>
                          <a:cxn ang="180">
                            <a:pos x="569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1139" y="21600"/>
                            </a:lnTo>
                            <a:lnTo>
                              <a:pt x="20461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45B2B4">
                          <a:alpha val="59999"/>
                        </a:srgbClr>
                      </a:solidFill>
                      <a:ln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4" o:spid="_x0000_s1026" o:spt="100" style="position:absolute;left:0pt;margin-left:72.85pt;margin-top:-43.2pt;height:53.45pt;width:472.7pt;z-index:251661312;mso-width-relative:page;mso-height-relative:page;" fillcolor="#45B2B4" filled="t" stroked="f" coordsize="21600,21600" o:gfxdata="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B6h0S93QAA&#10;AAsBAAAPAAAAAAAAAAEAIAAAACIAAABkcnMvZG93bnJldi54bWxQSwECFAAUAAAACACHTuJA/jsb&#10;/sQCAABYBgAADgAAAAAAAAABACAAAAAsAQAAZHJzL2Uyb0RvYy54bWxQSwUGAAAAAAYABgBZAQAA&#10;YgYAAAAA&#10;" path="m0,0l1139,21600,20461,21600,21600,0xe">
              <v:path o:connectlocs="21030,10800;10800,21600;569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542925</wp:posOffset>
              </wp:positionH>
              <wp:positionV relativeFrom="paragraph">
                <wp:posOffset>-551180</wp:posOffset>
              </wp:positionV>
              <wp:extent cx="6348095" cy="468630"/>
              <wp:effectExtent l="0" t="0" r="14605" b="7620"/>
              <wp:wrapNone/>
              <wp:docPr id="2" name="自选图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04340" y="800100"/>
                        <a:ext cx="6348095" cy="468630"/>
                      </a:xfrm>
                      <a:custGeom>
                        <a:avLst/>
                        <a:gdLst>
                          <a:gd name="txL" fmla="*/ 2172 w 21600"/>
                          <a:gd name="txT" fmla="*/ 2172 h 21600"/>
                          <a:gd name="txR" fmla="*/ 19427 w 21600"/>
                          <a:gd name="txB" fmla="*/ 19427 h 21600"/>
                        </a:gdLst>
                        <a:ahLst/>
                        <a:cxnLst>
                          <a:cxn ang="0">
                            <a:pos x="21227" y="10800"/>
                          </a:cxn>
                          <a:cxn ang="90">
                            <a:pos x="10800" y="21600"/>
                          </a:cxn>
                          <a:cxn ang="180">
                            <a:pos x="372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745" y="21600"/>
                            </a:lnTo>
                            <a:lnTo>
                              <a:pt x="20855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8CBB35">
                          <a:alpha val="59999"/>
                        </a:srgbClr>
                      </a:solidFill>
                      <a:ln w="9525"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3" o:spid="_x0000_s1026" o:spt="100" style="position:absolute;left:0pt;margin-left:42.75pt;margin-top:-43.4pt;height:36.9pt;width:499.85pt;z-index:251660288;mso-width-relative:page;mso-height-relative:page;" fillcolor="#8CBB35" filled="t" stroked="f" coordsize="21600,21600" o:gfxdata="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O73Q7HZAAAACwEAAA8AAAAAAAAAAQAgAAAAIgAAAGRycy9kb3ducmV2LnhtbFBLAQIUABQAAAAI&#10;AIdO4kCNBcsm0AIAAGsGAAAOAAAAAAAAAAEAIAAAACgBAABkcnMvZTJvRG9jLnhtbFBLBQYAAAAA&#10;BgAGAFkBAABqBgAAAAA=&#10;" path="m0,0l745,21600,20855,21600,21600,0xe">
              <v:path o:connectlocs="21227,10800;10800,21600;372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Y2E3MDJkMmQxZDBiZDZmNmI4ZWUzNDNiOTAxZWYifQ=="/>
  </w:docVars>
  <w:rsids>
    <w:rsidRoot w:val="00000000"/>
    <w:rsid w:val="141E72D3"/>
    <w:rsid w:val="2A886554"/>
    <w:rsid w:val="35AD5156"/>
    <w:rsid w:val="4CBA1085"/>
    <w:rsid w:val="624356CD"/>
    <w:rsid w:val="64AB11CC"/>
    <w:rsid w:val="6A8B3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2024-03-05T13:30:00Z</dcterms:created>
  <dc:creator>ASUS</dc:creator>
  <cp:lastModifiedBy>多巴胺</cp:lastModifiedBy>
  <dcterms:modified xsi:type="dcterms:W3CDTF">2024-07-09T06:46:12Z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20DC37BDB0D64A7F9202799E5F6C71B4_13</vt:lpwstr>
  </property>
</Properties>
</file>